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outlineLvl w:val="1"/>
        <w:rPr>
          <w:rFonts w:ascii="宋体" w:hAnsi="宋体" w:cs="宋体"/>
          <w:b/>
          <w:bCs/>
          <w:snapToGrid w:val="0"/>
          <w:color w:val="auto"/>
          <w:kern w:val="0"/>
          <w:sz w:val="36"/>
          <w:szCs w:val="36"/>
        </w:rPr>
      </w:pPr>
      <w:bookmarkStart w:id="0" w:name="_Toc200359427"/>
      <w:bookmarkStart w:id="1" w:name="_Toc309559411"/>
      <w:bookmarkStart w:id="2" w:name="_Toc228772445"/>
      <w:bookmarkStart w:id="3" w:name="_Toc325636571"/>
      <w:bookmarkStart w:id="4" w:name="_Toc200359238"/>
      <w:bookmarkStart w:id="5" w:name="_Toc317863413"/>
    </w:p>
    <w:p>
      <w:pPr>
        <w:widowControl/>
        <w:spacing w:line="360" w:lineRule="auto"/>
        <w:ind w:left="3445" w:hanging="3196" w:hangingChars="995"/>
        <w:jc w:val="center"/>
        <w:outlineLvl w:val="1"/>
        <w:rPr>
          <w:rFonts w:ascii="宋体" w:hAnsi="宋体" w:cs="宋体"/>
          <w:b/>
          <w:bCs/>
          <w:snapToGrid w:val="0"/>
          <w:color w:val="auto"/>
          <w:kern w:val="0"/>
          <w:sz w:val="32"/>
          <w:szCs w:val="32"/>
        </w:rPr>
      </w:pPr>
      <w:r>
        <w:rPr>
          <w:rFonts w:hint="eastAsia" w:ascii="宋体" w:hAnsi="宋体" w:cs="宋体"/>
          <w:b/>
          <w:bCs/>
          <w:snapToGrid w:val="0"/>
          <w:color w:val="auto"/>
          <w:kern w:val="0"/>
          <w:sz w:val="32"/>
          <w:szCs w:val="32"/>
        </w:rPr>
        <w:t xml:space="preserve">        </w:t>
      </w:r>
      <w:bookmarkStart w:id="6" w:name="OLE_LINK1"/>
      <w:r>
        <w:rPr>
          <w:rFonts w:hint="eastAsia" w:ascii="宋体" w:hAnsi="宋体" w:cs="宋体"/>
          <w:b/>
          <w:bCs/>
          <w:snapToGrid w:val="0"/>
          <w:color w:val="auto"/>
          <w:kern w:val="0"/>
          <w:sz w:val="32"/>
          <w:szCs w:val="32"/>
        </w:rPr>
        <w:t>会议中心配电房设备维修相关服务招标公告</w:t>
      </w:r>
      <w:bookmarkEnd w:id="6"/>
    </w:p>
    <w:p>
      <w:pPr>
        <w:widowControl/>
        <w:spacing w:line="360" w:lineRule="auto"/>
        <w:jc w:val="left"/>
        <w:outlineLvl w:val="1"/>
        <w:rPr>
          <w:rFonts w:ascii="宋体" w:hAnsi="宋体" w:cs="宋体"/>
          <w:b/>
          <w:bCs/>
          <w:snapToGrid w:val="0"/>
          <w:color w:val="auto"/>
          <w:kern w:val="0"/>
          <w:sz w:val="36"/>
          <w:szCs w:val="36"/>
        </w:rPr>
      </w:pPr>
    </w:p>
    <w:p>
      <w:pPr>
        <w:widowControl/>
        <w:spacing w:line="360" w:lineRule="auto"/>
        <w:jc w:val="left"/>
        <w:outlineLvl w:val="1"/>
        <w:rPr>
          <w:rFonts w:ascii="宋体" w:hAnsi="宋体" w:cs="宋体"/>
          <w:b/>
          <w:bCs/>
          <w:snapToGrid w:val="0"/>
          <w:color w:val="auto"/>
          <w:kern w:val="0"/>
          <w:sz w:val="24"/>
        </w:rPr>
      </w:pPr>
      <w:r>
        <w:rPr>
          <w:rFonts w:hint="eastAsia" w:ascii="宋体" w:hAnsi="宋体" w:cs="宋体"/>
          <w:b/>
          <w:bCs/>
          <w:snapToGrid w:val="0"/>
          <w:color w:val="auto"/>
          <w:kern w:val="0"/>
          <w:sz w:val="24"/>
        </w:rPr>
        <w:t>一、 招标条件</w:t>
      </w:r>
      <w:bookmarkEnd w:id="0"/>
      <w:bookmarkEnd w:id="1"/>
      <w:bookmarkEnd w:id="2"/>
      <w:bookmarkEnd w:id="3"/>
      <w:bookmarkEnd w:id="4"/>
      <w:bookmarkEnd w:id="5"/>
      <w:r>
        <w:rPr>
          <w:rFonts w:hint="eastAsia" w:ascii="宋体" w:hAnsi="宋体" w:cs="宋体"/>
          <w:b/>
          <w:bCs/>
          <w:snapToGrid w:val="0"/>
          <w:color w:val="auto"/>
          <w:kern w:val="0"/>
          <w:sz w:val="24"/>
        </w:rPr>
        <w:t xml:space="preserve"> </w:t>
      </w:r>
    </w:p>
    <w:p>
      <w:pPr>
        <w:widowControl/>
        <w:spacing w:before="100" w:beforeAutospacing="1" w:after="100" w:afterAutospacing="1" w:line="360" w:lineRule="auto"/>
        <w:jc w:val="left"/>
        <w:outlineLvl w:val="2"/>
        <w:rPr>
          <w:rFonts w:ascii="宋体" w:hAnsi="宋体" w:cs="宋体"/>
          <w:snapToGrid w:val="0"/>
          <w:color w:val="auto"/>
          <w:kern w:val="0"/>
          <w:sz w:val="24"/>
        </w:rPr>
      </w:pPr>
      <w:r>
        <w:rPr>
          <w:rFonts w:hint="eastAsia" w:ascii="宋体" w:hAnsi="宋体" w:cs="宋体"/>
          <w:b/>
          <w:bCs/>
          <w:snapToGrid w:val="0"/>
          <w:color w:val="auto"/>
          <w:kern w:val="0"/>
          <w:sz w:val="24"/>
        </w:rPr>
        <w:t> </w:t>
      </w:r>
      <w:r>
        <w:rPr>
          <w:rFonts w:hint="eastAsia" w:ascii="宋体" w:hAnsi="宋体" w:cs="宋体"/>
          <w:snapToGrid w:val="0"/>
          <w:color w:val="auto"/>
          <w:kern w:val="0"/>
          <w:sz w:val="24"/>
        </w:rPr>
        <w:t>本次招标项目</w:t>
      </w:r>
      <w:r>
        <w:rPr>
          <w:rFonts w:hint="eastAsia" w:ascii="宋体" w:hAnsi="宋体" w:cs="宋体"/>
          <w:b/>
          <w:color w:val="auto"/>
          <w:kern w:val="0"/>
          <w:sz w:val="24"/>
          <w:u w:val="single"/>
        </w:rPr>
        <w:t>会议中心配电房设备维修相关服务，</w:t>
      </w:r>
      <w:r>
        <w:rPr>
          <w:rFonts w:hint="eastAsia" w:ascii="宋体" w:hAnsi="宋体" w:cs="宋体"/>
          <w:snapToGrid w:val="0"/>
          <w:color w:val="auto"/>
          <w:kern w:val="0"/>
          <w:sz w:val="24"/>
        </w:rPr>
        <w:t>招标人为</w:t>
      </w:r>
      <w:r>
        <w:rPr>
          <w:rFonts w:hint="eastAsia" w:ascii="宋体" w:hAnsi="宋体" w:cs="宋体"/>
          <w:b/>
          <w:color w:val="auto"/>
          <w:kern w:val="0"/>
          <w:sz w:val="24"/>
          <w:u w:val="single"/>
        </w:rPr>
        <w:t>南京河西会议展览有限责任公司</w:t>
      </w:r>
      <w:r>
        <w:rPr>
          <w:rFonts w:hint="eastAsia" w:ascii="宋体" w:hAnsi="宋体" w:cs="宋体"/>
          <w:snapToGrid w:val="0"/>
          <w:color w:val="auto"/>
          <w:kern w:val="0"/>
          <w:sz w:val="24"/>
        </w:rPr>
        <w:t>，建设资金来源为</w:t>
      </w:r>
      <w:r>
        <w:rPr>
          <w:rFonts w:hint="eastAsia" w:ascii="宋体" w:hAnsi="宋体" w:cs="宋体"/>
          <w:snapToGrid w:val="0"/>
          <w:color w:val="auto"/>
          <w:kern w:val="0"/>
          <w:sz w:val="24"/>
        </w:rPr>
        <w:t>国有资金，</w:t>
      </w:r>
      <w:r>
        <w:rPr>
          <w:rFonts w:hint="eastAsia" w:ascii="宋体" w:hAnsi="宋体" w:cs="宋体"/>
          <w:b/>
          <w:snapToGrid w:val="0"/>
          <w:color w:val="auto"/>
          <w:kern w:val="0"/>
          <w:sz w:val="24"/>
          <w:u w:val="single"/>
        </w:rPr>
        <w:t>现已落实</w:t>
      </w:r>
      <w:r>
        <w:rPr>
          <w:rFonts w:hint="eastAsia" w:ascii="宋体" w:hAnsi="宋体" w:cs="宋体"/>
          <w:snapToGrid w:val="0"/>
          <w:color w:val="auto"/>
          <w:kern w:val="0"/>
          <w:sz w:val="24"/>
        </w:rPr>
        <w:t>。</w:t>
      </w:r>
      <w:r>
        <w:rPr>
          <w:rFonts w:hint="eastAsia" w:ascii="宋体" w:hAnsi="宋体" w:cs="宋体"/>
          <w:snapToGrid w:val="0"/>
          <w:color w:val="auto"/>
          <w:kern w:val="0"/>
          <w:sz w:val="24"/>
        </w:rPr>
        <w:t>本项目采用</w:t>
      </w:r>
      <w:r>
        <w:rPr>
          <w:rFonts w:hint="eastAsia" w:ascii="宋体" w:hAnsi="宋体" w:cs="宋体"/>
          <w:b/>
          <w:snapToGrid w:val="0"/>
          <w:color w:val="auto"/>
          <w:kern w:val="0"/>
          <w:sz w:val="24"/>
          <w:u w:val="single"/>
        </w:rPr>
        <w:t>资格后审</w:t>
      </w:r>
      <w:r>
        <w:rPr>
          <w:rFonts w:hint="eastAsia" w:ascii="宋体" w:hAnsi="宋体" w:cs="宋体"/>
          <w:snapToGrid w:val="0"/>
          <w:color w:val="auto"/>
          <w:kern w:val="0"/>
          <w:sz w:val="24"/>
        </w:rPr>
        <w:t>方式，对该项目的</w:t>
      </w:r>
      <w:r>
        <w:rPr>
          <w:rFonts w:hint="eastAsia" w:ascii="宋体" w:hAnsi="宋体" w:cs="宋体"/>
          <w:b/>
          <w:color w:val="auto"/>
          <w:kern w:val="0"/>
          <w:sz w:val="24"/>
          <w:u w:val="single"/>
        </w:rPr>
        <w:t>会议中心配电房设备维修相关服务</w:t>
      </w:r>
      <w:r>
        <w:rPr>
          <w:rFonts w:hint="eastAsia" w:ascii="宋体" w:hAnsi="宋体" w:cs="宋体"/>
          <w:snapToGrid w:val="0"/>
          <w:color w:val="auto"/>
          <w:kern w:val="0"/>
          <w:sz w:val="24"/>
        </w:rPr>
        <w:t xml:space="preserve">进行公开招标。 </w:t>
      </w:r>
    </w:p>
    <w:p>
      <w:pPr>
        <w:widowControl/>
        <w:spacing w:before="100" w:beforeAutospacing="1" w:after="100" w:afterAutospacing="1" w:line="360" w:lineRule="auto"/>
        <w:jc w:val="left"/>
        <w:rPr>
          <w:rFonts w:ascii="宋体" w:hAnsi="宋体" w:cs="宋体"/>
          <w:b/>
          <w:bCs/>
          <w:snapToGrid w:val="0"/>
          <w:color w:val="auto"/>
          <w:kern w:val="0"/>
          <w:sz w:val="24"/>
        </w:rPr>
      </w:pPr>
      <w:r>
        <w:rPr>
          <w:rFonts w:hint="eastAsia" w:ascii="宋体" w:hAnsi="宋体" w:cs="宋体"/>
          <w:snapToGrid w:val="0"/>
          <w:color w:val="auto"/>
          <w:kern w:val="0"/>
          <w:sz w:val="24"/>
        </w:rPr>
        <w:t> </w:t>
      </w:r>
      <w:bookmarkStart w:id="7" w:name="_Toc309559412"/>
      <w:bookmarkStart w:id="8" w:name="_Toc200359428"/>
      <w:bookmarkStart w:id="9" w:name="_Toc325636572"/>
      <w:bookmarkStart w:id="10" w:name="_Toc228772446"/>
      <w:bookmarkStart w:id="11" w:name="_Toc317863414"/>
      <w:bookmarkStart w:id="12" w:name="_Toc200359239"/>
      <w:r>
        <w:rPr>
          <w:rFonts w:hint="eastAsia" w:ascii="宋体" w:hAnsi="宋体" w:cs="宋体"/>
          <w:b/>
          <w:bCs/>
          <w:snapToGrid w:val="0"/>
          <w:color w:val="auto"/>
          <w:kern w:val="0"/>
          <w:sz w:val="24"/>
        </w:rPr>
        <w:t>二、 项目概况与招标范围</w:t>
      </w:r>
      <w:bookmarkEnd w:id="7"/>
      <w:bookmarkEnd w:id="8"/>
      <w:bookmarkEnd w:id="9"/>
      <w:bookmarkEnd w:id="10"/>
      <w:bookmarkEnd w:id="11"/>
      <w:bookmarkEnd w:id="12"/>
      <w:r>
        <w:rPr>
          <w:rFonts w:hint="eastAsia" w:ascii="宋体" w:hAnsi="宋体" w:cs="宋体"/>
          <w:b/>
          <w:bCs/>
          <w:snapToGrid w:val="0"/>
          <w:color w:val="auto"/>
          <w:kern w:val="0"/>
          <w:sz w:val="24"/>
        </w:rPr>
        <w:t xml:space="preserve"> </w:t>
      </w:r>
    </w:p>
    <w:p>
      <w:pPr>
        <w:widowControl/>
        <w:spacing w:before="100" w:beforeAutospacing="1" w:after="100" w:afterAutospacing="1" w:line="360" w:lineRule="auto"/>
        <w:jc w:val="left"/>
        <w:outlineLvl w:val="2"/>
        <w:rPr>
          <w:rFonts w:ascii="宋体" w:hAnsi="宋体" w:cs="宋体"/>
          <w:snapToGrid w:val="0"/>
          <w:color w:val="auto"/>
          <w:kern w:val="0"/>
          <w:sz w:val="24"/>
        </w:rPr>
      </w:pPr>
      <w:r>
        <w:rPr>
          <w:rFonts w:hint="eastAsia" w:ascii="宋体" w:hAnsi="宋体" w:cs="宋体"/>
          <w:b/>
          <w:bCs/>
          <w:snapToGrid w:val="0"/>
          <w:color w:val="auto"/>
          <w:kern w:val="0"/>
          <w:sz w:val="24"/>
        </w:rPr>
        <w:t> </w:t>
      </w:r>
      <w:bookmarkStart w:id="13" w:name="_Toc200359240"/>
      <w:bookmarkStart w:id="14" w:name="_Toc200359429"/>
      <w:r>
        <w:rPr>
          <w:rFonts w:hint="eastAsia" w:ascii="宋体" w:hAnsi="宋体" w:cs="宋体"/>
          <w:snapToGrid w:val="0"/>
          <w:color w:val="auto"/>
          <w:kern w:val="0"/>
          <w:sz w:val="24"/>
        </w:rPr>
        <w:t>1、项目地点：</w:t>
      </w:r>
      <w:r>
        <w:rPr>
          <w:rFonts w:hint="eastAsia" w:ascii="宋体" w:hAnsi="宋体" w:cs="宋体"/>
          <w:b/>
          <w:color w:val="auto"/>
          <w:kern w:val="0"/>
          <w:sz w:val="24"/>
          <w:u w:val="single"/>
        </w:rPr>
        <w:t>南京市建邺区白龙江西街6号</w:t>
      </w:r>
      <w:r>
        <w:rPr>
          <w:rFonts w:hint="eastAsia" w:ascii="宋体" w:hAnsi="宋体" w:cs="宋体"/>
          <w:snapToGrid w:val="0"/>
          <w:color w:val="auto"/>
          <w:kern w:val="0"/>
          <w:sz w:val="24"/>
        </w:rPr>
        <w:t xml:space="preserve">； </w:t>
      </w:r>
    </w:p>
    <w:p>
      <w:pPr>
        <w:widowControl/>
        <w:spacing w:before="100" w:beforeAutospacing="1" w:after="100" w:afterAutospacing="1" w:line="360" w:lineRule="auto"/>
        <w:jc w:val="left"/>
        <w:rPr>
          <w:rFonts w:ascii="宋体" w:hAnsi="宋体" w:cs="宋体"/>
          <w:color w:val="auto"/>
          <w:kern w:val="0"/>
          <w:sz w:val="24"/>
        </w:rPr>
      </w:pPr>
      <w:r>
        <w:rPr>
          <w:rFonts w:hint="eastAsia" w:ascii="宋体" w:hAnsi="宋体" w:cs="宋体"/>
          <w:snapToGrid w:val="0"/>
          <w:color w:val="auto"/>
          <w:kern w:val="0"/>
          <w:sz w:val="24"/>
        </w:rPr>
        <w:t> 2、招标范围：</w:t>
      </w:r>
      <w:r>
        <w:rPr>
          <w:rFonts w:hint="eastAsia" w:ascii="宋体" w:hAnsi="宋体" w:cs="宋体"/>
          <w:b/>
          <w:color w:val="auto"/>
          <w:kern w:val="0"/>
          <w:sz w:val="24"/>
          <w:u w:val="single"/>
        </w:rPr>
        <w:t>南会议中心配电房设备维修相关服务</w:t>
      </w:r>
      <w:r>
        <w:rPr>
          <w:rFonts w:hint="eastAsia" w:ascii="宋体" w:hAnsi="宋体" w:cs="宋体"/>
          <w:color w:val="auto"/>
          <w:kern w:val="0"/>
          <w:sz w:val="24"/>
        </w:rPr>
        <w:t>的招标范围包括场所的设计、拆除、</w:t>
      </w:r>
      <w:r>
        <w:rPr>
          <w:rFonts w:hint="eastAsia" w:ascii="宋体" w:hAnsi="宋体" w:cs="宋体"/>
          <w:color w:val="auto"/>
          <w:kern w:val="0"/>
          <w:sz w:val="24"/>
          <w:lang w:eastAsia="zh-CN"/>
        </w:rPr>
        <w:t>安装</w:t>
      </w:r>
      <w:r>
        <w:rPr>
          <w:rFonts w:hint="eastAsia" w:ascii="宋体" w:hAnsi="宋体" w:cs="宋体"/>
          <w:color w:val="auto"/>
          <w:kern w:val="0"/>
          <w:sz w:val="24"/>
        </w:rPr>
        <w:t>；材料采购及运输、装卸、安装等</w:t>
      </w:r>
      <w:r>
        <w:rPr>
          <w:rFonts w:hint="eastAsia" w:cs="宋体"/>
          <w:color w:val="auto"/>
          <w:kern w:val="0"/>
          <w:sz w:val="24"/>
        </w:rPr>
        <w:t>服务</w:t>
      </w:r>
      <w:r>
        <w:rPr>
          <w:rFonts w:hint="eastAsia" w:ascii="宋体" w:hAnsi="宋体" w:cs="宋体"/>
          <w:color w:val="auto"/>
          <w:kern w:val="0"/>
          <w:sz w:val="24"/>
        </w:rPr>
        <w:t xml:space="preserve">。 </w:t>
      </w:r>
    </w:p>
    <w:p>
      <w:pPr>
        <w:widowControl/>
        <w:spacing w:before="100" w:beforeAutospacing="1" w:after="100" w:afterAutospacing="1" w:line="360" w:lineRule="auto"/>
        <w:jc w:val="left"/>
        <w:rPr>
          <w:rFonts w:ascii="宋体" w:hAnsi="宋体" w:cs="宋体"/>
          <w:color w:val="auto"/>
          <w:kern w:val="0"/>
          <w:sz w:val="24"/>
        </w:rPr>
      </w:pPr>
      <w:r>
        <w:rPr>
          <w:rFonts w:hint="eastAsia" w:ascii="宋体" w:hAnsi="宋体" w:cs="宋体"/>
          <w:color w:val="auto"/>
          <w:kern w:val="0"/>
          <w:sz w:val="24"/>
        </w:rPr>
        <w:t> </w:t>
      </w:r>
      <w:r>
        <w:rPr>
          <w:rFonts w:hint="eastAsia" w:ascii="宋体" w:hAnsi="宋体" w:cs="宋体"/>
          <w:snapToGrid w:val="0"/>
          <w:color w:val="auto"/>
          <w:kern w:val="0"/>
          <w:sz w:val="24"/>
        </w:rPr>
        <w:t>3、</w:t>
      </w:r>
      <w:r>
        <w:rPr>
          <w:rFonts w:hint="eastAsia" w:ascii="宋体" w:hAnsi="宋体" w:cs="宋体"/>
          <w:color w:val="auto"/>
          <w:spacing w:val="11"/>
          <w:kern w:val="0"/>
          <w:sz w:val="24"/>
        </w:rPr>
        <w:t>工期要求：</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3</w:t>
      </w:r>
      <w:r>
        <w:rPr>
          <w:rFonts w:hint="eastAsia" w:ascii="宋体" w:hAnsi="宋体" w:cs="宋体"/>
          <w:color w:val="auto"/>
          <w:kern w:val="0"/>
          <w:sz w:val="24"/>
          <w:u w:val="single"/>
        </w:rPr>
        <w:t>0天</w:t>
      </w:r>
      <w:r>
        <w:rPr>
          <w:rFonts w:hint="eastAsia" w:ascii="宋体" w:hAnsi="宋体" w:cs="宋体"/>
          <w:color w:val="auto"/>
          <w:kern w:val="0"/>
          <w:sz w:val="24"/>
        </w:rPr>
        <w:t>。</w:t>
      </w:r>
    </w:p>
    <w:p>
      <w:pPr>
        <w:spacing w:line="360" w:lineRule="auto"/>
        <w:rPr>
          <w:rFonts w:ascii="宋体" w:hAnsi="宋体" w:cs="宋体"/>
          <w:b/>
          <w:bCs/>
          <w:snapToGrid w:val="0"/>
          <w:color w:val="auto"/>
          <w:kern w:val="0"/>
          <w:sz w:val="24"/>
        </w:rPr>
      </w:pPr>
      <w:r>
        <w:rPr>
          <w:rFonts w:hint="eastAsia" w:ascii="宋体" w:hAnsi="宋体" w:cs="宋体"/>
          <w:color w:val="auto"/>
          <w:kern w:val="0"/>
          <w:sz w:val="24"/>
        </w:rPr>
        <w:t> </w:t>
      </w:r>
      <w:bookmarkStart w:id="15" w:name="_Toc325636573"/>
      <w:bookmarkStart w:id="16" w:name="_Toc317863415"/>
      <w:bookmarkStart w:id="17" w:name="_Toc228772447"/>
      <w:r>
        <w:rPr>
          <w:rFonts w:hint="eastAsia" w:ascii="宋体" w:hAnsi="宋体" w:cs="宋体"/>
          <w:b/>
          <w:bCs/>
          <w:snapToGrid w:val="0"/>
          <w:color w:val="auto"/>
          <w:kern w:val="0"/>
          <w:sz w:val="24"/>
        </w:rPr>
        <w:t>三、 投标人资格要求</w:t>
      </w:r>
      <w:bookmarkEnd w:id="13"/>
      <w:bookmarkEnd w:id="14"/>
      <w:bookmarkEnd w:id="15"/>
      <w:bookmarkEnd w:id="16"/>
      <w:bookmarkEnd w:id="17"/>
    </w:p>
    <w:p>
      <w:pPr>
        <w:keepNext w:val="0"/>
        <w:keepLines w:val="0"/>
        <w:pageBreakBefore w:val="0"/>
        <w:widowControl/>
        <w:numPr>
          <w:ilvl w:val="0"/>
          <w:numId w:val="1"/>
        </w:numPr>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必须在中华人民共和国境内依法注册、具有独立法人资格，具有工商管理部门颁发的营业执照（年检合格），注册资金不低于人民币500万元（含500万元）。（若已办理三证合一的，需提供新版的营业执照及可查询网址）</w:t>
      </w:r>
    </w:p>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rPr>
        <w:t>（2）投标人应具备承担招标项目的能力，具有营业执照，具有独立订立合同的能力，依法独立享有民事权利和承担民事义务，能独立承担民事责任；</w:t>
      </w:r>
    </w:p>
    <w:p>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rPr>
        <w:t>（3）投标人必须具有良好的商业信誉和健全的财务会计制度，提供第三方会计事务所出具的近两年审计报告或银行出具的资信证明；</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（4）投标人应提供全套注册和资质证明文件（包括资质证明、营业执照、税务登记证、组织机构代码证及合同业绩等证明材料）；</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（5）必须是增值税一般纳税人，能开具增值税专用发票。</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（6）具有国家能源局颁发的四级及以上承试类、承修类《承装（修、试）电力设施许可证》。</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（7）具备建设主管部门颁发的电力总承包三级及以上或送变电专业承包三级及以上《建筑企业资质证书》。</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（8）具备建设主管部门颁发的《安全生产许可证》。</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9）近三年（2014年9月1日—2017年8月31日）具有单个合同大于或等于100万元的电力工程项目。具有单个合同金额大于或等于30万元的10kV及以上变电所配电设备试验、维修维护项目（提供合同复印件，关键页及签字盖章页，原件备查）。</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（10）不接受联合体。法定代表人为同一人的两个及两个以上的母公司、全资子公司及其控股公司，不得同时参与比选。</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（11）投标人存在下列情形之一的，不得申请参与本次投标：</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1）投标人被责令停业或破产状态的；</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2）投标人被暂停或取消投标资格的；</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3）投标人财产被重组、接管、查封、扣押或冻结的；</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4）投标人在最近三年内有骗取中标或严重违约行为的；</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5）法律法规规定的其他必须符合的要求。</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6）近三年内在经营活动中无违法、未出现过产品质量相关问题违规记录。</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r>
        <w:rPr>
          <w:rFonts w:hint="eastAsia" w:ascii="宋体" w:hAnsi="宋体" w:cs="宋体"/>
          <w:color w:val="auto"/>
          <w:kern w:val="0"/>
          <w:sz w:val="24"/>
        </w:rPr>
        <w:t>（12）法律法规规定的其他必须符合的要求。</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hint="eastAsia" w:ascii="宋体" w:hAnsi="宋体" w:cs="宋体"/>
          <w:color w:val="auto"/>
          <w:kern w:val="0"/>
          <w:sz w:val="24"/>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left"/>
        <w:textAlignment w:val="auto"/>
        <w:outlineLvl w:val="9"/>
        <w:rPr>
          <w:rFonts w:ascii="宋体" w:hAnsi="宋体" w:cs="宋体"/>
          <w:bCs/>
          <w:color w:val="auto"/>
          <w:kern w:val="0"/>
          <w:sz w:val="24"/>
        </w:rPr>
      </w:pPr>
      <w:r>
        <w:rPr>
          <w:rFonts w:hint="eastAsia" w:ascii="宋体" w:hAnsi="宋体" w:cs="宋体"/>
          <w:b/>
          <w:color w:val="auto"/>
          <w:kern w:val="0"/>
          <w:sz w:val="24"/>
        </w:rPr>
        <w:t>四、</w:t>
      </w:r>
      <w:r>
        <w:rPr>
          <w:rFonts w:hint="eastAsia" w:ascii="宋体" w:hAnsi="宋体" w:cs="宋体"/>
          <w:bCs/>
          <w:color w:val="auto"/>
          <w:kern w:val="0"/>
          <w:sz w:val="24"/>
        </w:rPr>
        <w:t>本项目采用最高限价，最高限价</w:t>
      </w:r>
      <w:r>
        <w:rPr>
          <w:rFonts w:hint="eastAsia" w:ascii="宋体" w:hAnsi="宋体" w:cs="宋体"/>
          <w:b/>
          <w:color w:val="auto"/>
          <w:kern w:val="0"/>
          <w:sz w:val="24"/>
        </w:rPr>
        <w:t>为</w:t>
      </w:r>
      <w:r>
        <w:rPr>
          <w:rFonts w:hint="eastAsia" w:ascii="宋体" w:hAnsi="宋体" w:cs="宋体"/>
          <w:b/>
          <w:color w:val="auto"/>
          <w:kern w:val="0"/>
          <w:sz w:val="24"/>
          <w:u w:val="single"/>
        </w:rPr>
        <w:t xml:space="preserve"> </w:t>
      </w:r>
      <w:r>
        <w:rPr>
          <w:rFonts w:hint="eastAsia" w:ascii="宋体" w:hAnsi="宋体" w:cs="宋体"/>
          <w:b/>
          <w:color w:val="auto"/>
          <w:kern w:val="0"/>
          <w:sz w:val="24"/>
          <w:u w:val="single"/>
          <w:lang w:val="en-US" w:eastAsia="zh-CN"/>
        </w:rPr>
        <w:t>35</w:t>
      </w:r>
      <w:r>
        <w:rPr>
          <w:rFonts w:hint="eastAsia" w:ascii="宋体" w:hAnsi="宋体" w:cs="宋体"/>
          <w:b/>
          <w:color w:val="auto"/>
          <w:kern w:val="0"/>
          <w:sz w:val="24"/>
        </w:rPr>
        <w:t>万</w:t>
      </w:r>
      <w:r>
        <w:rPr>
          <w:rFonts w:hint="eastAsia" w:ascii="宋体" w:hAnsi="宋体" w:cs="宋体"/>
          <w:bCs/>
          <w:color w:val="auto"/>
          <w:kern w:val="0"/>
          <w:sz w:val="24"/>
        </w:rPr>
        <w:t>超出此价为废标。</w:t>
      </w:r>
    </w:p>
    <w:p>
      <w:pPr>
        <w:widowControl/>
        <w:spacing w:before="100" w:beforeAutospacing="1" w:after="100" w:afterAutospacing="1" w:line="360" w:lineRule="auto"/>
        <w:jc w:val="left"/>
        <w:rPr>
          <w:rFonts w:ascii="宋体" w:hAnsi="宋体" w:cs="宋体"/>
          <w:bCs/>
          <w:color w:val="auto"/>
          <w:kern w:val="0"/>
          <w:sz w:val="24"/>
        </w:rPr>
      </w:pPr>
      <w:r>
        <w:rPr>
          <w:rFonts w:hint="eastAsia" w:ascii="宋体" w:hAnsi="宋体" w:cs="宋体"/>
          <w:bCs/>
          <w:color w:val="auto"/>
          <w:kern w:val="0"/>
          <w:sz w:val="24"/>
        </w:rPr>
        <w:t>五、</w:t>
      </w:r>
      <w:r>
        <w:rPr>
          <w:rFonts w:hint="eastAsia" w:ascii="宋体" w:hAnsi="宋体" w:cs="宋体"/>
          <w:b/>
          <w:color w:val="auto"/>
          <w:kern w:val="0"/>
          <w:sz w:val="24"/>
        </w:rPr>
        <w:t>报价说明</w:t>
      </w:r>
    </w:p>
    <w:p>
      <w:pPr>
        <w:widowControl/>
        <w:spacing w:before="100" w:beforeAutospacing="1" w:after="100" w:afterAutospacing="1" w:line="360" w:lineRule="auto"/>
        <w:jc w:val="left"/>
        <w:rPr>
          <w:rFonts w:ascii="宋体" w:hAnsi="宋体" w:cs="宋体"/>
          <w:bCs/>
          <w:color w:val="auto"/>
          <w:kern w:val="0"/>
          <w:sz w:val="24"/>
        </w:rPr>
      </w:pPr>
      <w:r>
        <w:rPr>
          <w:rFonts w:hint="eastAsia" w:ascii="宋体" w:hAnsi="宋体" w:cs="宋体"/>
          <w:bCs/>
          <w:color w:val="auto"/>
          <w:kern w:val="0"/>
          <w:sz w:val="24"/>
        </w:rPr>
        <w:t xml:space="preserve">   本次招标分为清单报价详见附件。</w:t>
      </w:r>
      <w:r>
        <w:rPr>
          <w:rFonts w:hint="eastAsia" w:ascii="宋体" w:hAnsi="宋体" w:cs="宋体"/>
          <w:bCs/>
          <w:color w:val="auto"/>
          <w:kern w:val="0"/>
          <w:sz w:val="24"/>
          <w:lang w:eastAsia="zh-CN"/>
        </w:rPr>
        <w:t>采购单位组织在</w:t>
      </w:r>
      <w:r>
        <w:rPr>
          <w:rFonts w:hint="eastAsia" w:ascii="宋体" w:hAnsi="宋体" w:cs="宋体"/>
          <w:bCs/>
          <w:color w:val="auto"/>
          <w:kern w:val="0"/>
          <w:sz w:val="24"/>
          <w:lang w:val="en-US" w:eastAsia="zh-CN"/>
        </w:rPr>
        <w:t>2017 年 9月 6日上午10点前往</w:t>
      </w:r>
      <w:r>
        <w:rPr>
          <w:rFonts w:hint="eastAsia" w:ascii="宋体" w:hAnsi="宋体" w:cs="宋体"/>
          <w:color w:val="auto"/>
          <w:kern w:val="0"/>
          <w:sz w:val="24"/>
          <w:lang w:eastAsia="zh-CN"/>
        </w:rPr>
        <w:t>会议</w:t>
      </w:r>
      <w:r>
        <w:rPr>
          <w:rFonts w:hint="eastAsia" w:ascii="宋体" w:hAnsi="宋体" w:cs="宋体"/>
          <w:color w:val="auto"/>
          <w:kern w:val="0"/>
          <w:sz w:val="24"/>
        </w:rPr>
        <w:t>中心实地考察。</w:t>
      </w:r>
    </w:p>
    <w:p>
      <w:pPr>
        <w:widowControl/>
        <w:spacing w:before="100" w:beforeAutospacing="1" w:after="100" w:afterAutospacing="1" w:line="360" w:lineRule="auto"/>
        <w:jc w:val="left"/>
        <w:rPr>
          <w:rFonts w:ascii="宋体" w:hAnsi="宋体" w:cs="宋体"/>
          <w:b/>
          <w:color w:val="auto"/>
          <w:kern w:val="0"/>
          <w:sz w:val="24"/>
        </w:rPr>
      </w:pPr>
      <w:r>
        <w:rPr>
          <w:rFonts w:hint="eastAsia" w:ascii="宋体" w:hAnsi="宋体" w:cs="宋体"/>
          <w:b/>
          <w:color w:val="auto"/>
          <w:kern w:val="0"/>
          <w:sz w:val="24"/>
        </w:rPr>
        <w:t>六、</w:t>
      </w:r>
      <w:r>
        <w:rPr>
          <w:rFonts w:hint="eastAsia" w:ascii="宋体" w:hAnsi="宋体" w:cs="宋体"/>
          <w:color w:val="auto"/>
          <w:kern w:val="0"/>
          <w:sz w:val="24"/>
        </w:rPr>
        <w:t> </w:t>
      </w:r>
      <w:bookmarkStart w:id="18" w:name="_Toc325636574"/>
      <w:r>
        <w:rPr>
          <w:rFonts w:hint="eastAsia" w:ascii="宋体" w:hAnsi="宋体" w:cs="宋体"/>
          <w:b/>
          <w:color w:val="auto"/>
          <w:kern w:val="0"/>
          <w:sz w:val="24"/>
        </w:rPr>
        <w:t xml:space="preserve">评审办法：经评审的最低价中标法 </w:t>
      </w:r>
    </w:p>
    <w:p>
      <w:pPr>
        <w:widowControl/>
        <w:spacing w:before="100" w:beforeAutospacing="1" w:after="100" w:afterAutospacing="1" w:line="360" w:lineRule="auto"/>
        <w:jc w:val="left"/>
        <w:rPr>
          <w:rFonts w:ascii="宋体" w:hAnsi="宋体" w:cs="宋体"/>
          <w:b/>
          <w:color w:val="auto"/>
          <w:kern w:val="0"/>
          <w:sz w:val="24"/>
        </w:rPr>
      </w:pPr>
      <w:r>
        <w:rPr>
          <w:rFonts w:hint="eastAsia" w:ascii="宋体" w:hAnsi="宋体"/>
          <w:b/>
          <w:bCs/>
          <w:color w:val="auto"/>
          <w:kern w:val="0"/>
          <w:sz w:val="24"/>
        </w:rPr>
        <w:t>七、</w:t>
      </w:r>
      <w:r>
        <w:rPr>
          <w:rFonts w:hint="eastAsia" w:ascii="宋体" w:hAnsi="宋体" w:cs="宋体"/>
          <w:b/>
          <w:color w:val="auto"/>
          <w:kern w:val="0"/>
          <w:sz w:val="24"/>
        </w:rPr>
        <w:t xml:space="preserve"> 资格后审： </w:t>
      </w:r>
    </w:p>
    <w:p>
      <w:pPr>
        <w:widowControl/>
        <w:spacing w:before="100" w:beforeAutospacing="1" w:after="100" w:afterAutospacing="1" w:line="330" w:lineRule="atLeast"/>
        <w:jc w:val="left"/>
        <w:rPr>
          <w:rFonts w:ascii="宋体" w:hAnsi="宋体" w:cs="宋体"/>
          <w:color w:val="auto"/>
          <w:kern w:val="0"/>
          <w:sz w:val="24"/>
        </w:rPr>
      </w:pPr>
      <w:r>
        <w:rPr>
          <w:rFonts w:hint="eastAsia" w:ascii="宋体" w:hAnsi="宋体" w:cs="宋体"/>
          <w:b/>
          <w:color w:val="auto"/>
          <w:kern w:val="0"/>
          <w:sz w:val="24"/>
        </w:rPr>
        <w:t> </w:t>
      </w:r>
      <w:r>
        <w:rPr>
          <w:rFonts w:hint="eastAsia" w:ascii="宋体" w:hAnsi="宋体" w:cs="宋体"/>
          <w:color w:val="auto"/>
          <w:kern w:val="0"/>
          <w:sz w:val="24"/>
        </w:rPr>
        <w:t>本次招标采取资格后审，开标前，首先对投标人递交的资格审查材料进行评审。</w:t>
      </w:r>
    </w:p>
    <w:p>
      <w:pPr>
        <w:widowControl/>
        <w:numPr>
          <w:ilvl w:val="0"/>
          <w:numId w:val="2"/>
        </w:numPr>
        <w:spacing w:before="100" w:beforeAutospacing="1" w:after="100" w:afterAutospacing="1" w:line="330" w:lineRule="atLeast"/>
        <w:jc w:val="left"/>
        <w:rPr>
          <w:rFonts w:ascii="宋体" w:hAnsi="宋体" w:cs="宋体"/>
          <w:color w:val="auto"/>
          <w:kern w:val="0"/>
          <w:sz w:val="24"/>
        </w:rPr>
      </w:pPr>
      <w:r>
        <w:rPr>
          <w:rFonts w:hint="eastAsia" w:ascii="宋体" w:hAnsi="宋体" w:cs="宋体"/>
          <w:b/>
          <w:color w:val="auto"/>
          <w:kern w:val="0"/>
          <w:sz w:val="24"/>
        </w:rPr>
        <w:t> 投标资料要求：</w:t>
      </w:r>
    </w:p>
    <w:p>
      <w:pPr>
        <w:pStyle w:val="5"/>
        <w:widowControl/>
        <w:spacing w:before="0" w:beforeAutospacing="0" w:after="0" w:afterAutospacing="0" w:line="368" w:lineRule="atLeast"/>
        <w:ind w:firstLine="420"/>
        <w:rPr>
          <w:rFonts w:ascii="宋体" w:hAnsi="宋体" w:cs="宋体"/>
          <w:color w:val="auto"/>
        </w:rPr>
      </w:pPr>
      <w:r>
        <w:rPr>
          <w:rFonts w:hint="eastAsia" w:ascii="宋体" w:hAnsi="宋体" w:cs="宋体"/>
          <w:color w:val="auto"/>
        </w:rPr>
        <w:t>  </w:t>
      </w:r>
      <w:r>
        <w:rPr>
          <w:rFonts w:hint="eastAsia" w:ascii="宋体" w:hAnsi="宋体" w:cs="宋体"/>
          <w:color w:val="auto"/>
        </w:rPr>
        <w:t xml:space="preserve"> 1 、有效企业营业执照（三证合一）、</w:t>
      </w:r>
      <w:r>
        <w:rPr>
          <w:rFonts w:hint="eastAsia" w:ascii="宋体" w:hAnsi="宋体" w:cs="宋体"/>
          <w:color w:val="auto"/>
          <w:kern w:val="0"/>
          <w:sz w:val="24"/>
        </w:rPr>
        <w:t>承装（修、试）电力设施许可证</w:t>
      </w:r>
      <w:r>
        <w:rPr>
          <w:rFonts w:hint="eastAsia" w:ascii="宋体" w:hAnsi="宋体" w:cs="宋体"/>
          <w:color w:val="auto"/>
          <w:kern w:val="0"/>
          <w:sz w:val="24"/>
          <w:lang w:eastAsia="zh-CN"/>
        </w:rPr>
        <w:t>、</w:t>
      </w:r>
      <w:r>
        <w:rPr>
          <w:rFonts w:hint="eastAsia" w:ascii="宋体" w:hAnsi="宋体" w:cs="宋体"/>
          <w:color w:val="auto"/>
          <w:kern w:val="0"/>
          <w:sz w:val="24"/>
        </w:rPr>
        <w:t>安全生产许可证</w:t>
      </w:r>
      <w:r>
        <w:rPr>
          <w:rFonts w:hint="eastAsia" w:ascii="宋体" w:hAnsi="宋体" w:cs="宋体"/>
          <w:color w:val="auto"/>
        </w:rPr>
        <w:t>及投标函（详见附件二）；</w:t>
      </w:r>
    </w:p>
    <w:p>
      <w:pPr>
        <w:pStyle w:val="5"/>
        <w:widowControl/>
        <w:spacing w:before="0" w:beforeAutospacing="0" w:after="0" w:afterAutospacing="0" w:line="368" w:lineRule="atLeast"/>
        <w:rPr>
          <w:rFonts w:ascii="宋体" w:hAnsi="宋体" w:cs="宋体"/>
          <w:color w:val="auto"/>
        </w:rPr>
      </w:pPr>
      <w:r>
        <w:rPr>
          <w:rFonts w:hint="eastAsia" w:ascii="宋体" w:hAnsi="宋体" w:cs="宋体"/>
          <w:color w:val="auto"/>
        </w:rPr>
        <w:t xml:space="preserve">       2 、企业资质证书复印件；</w:t>
      </w:r>
    </w:p>
    <w:p>
      <w:pPr>
        <w:pStyle w:val="5"/>
        <w:widowControl/>
        <w:spacing w:before="0" w:beforeAutospacing="0" w:after="0" w:afterAutospacing="0" w:line="368" w:lineRule="atLeast"/>
        <w:rPr>
          <w:rFonts w:ascii="宋体" w:hAnsi="宋体" w:cs="宋体"/>
          <w:color w:val="auto"/>
        </w:rPr>
      </w:pPr>
      <w:r>
        <w:rPr>
          <w:rFonts w:hint="eastAsia" w:ascii="宋体" w:hAnsi="宋体" w:cs="宋体"/>
          <w:color w:val="auto"/>
        </w:rPr>
        <w:t xml:space="preserve">      3 、法人授权委托书原件（详见附件三）；</w:t>
      </w:r>
    </w:p>
    <w:p>
      <w:pPr>
        <w:pStyle w:val="5"/>
        <w:widowControl/>
        <w:spacing w:before="0" w:beforeAutospacing="0" w:after="0" w:afterAutospacing="0" w:line="368" w:lineRule="atLeast"/>
        <w:rPr>
          <w:rFonts w:hint="eastAsia" w:ascii="宋体" w:hAnsi="宋体" w:cs="宋体"/>
          <w:color w:val="auto"/>
        </w:rPr>
      </w:pPr>
      <w:r>
        <w:rPr>
          <w:rFonts w:hint="eastAsia" w:ascii="宋体" w:hAnsi="宋体" w:cs="宋体"/>
          <w:color w:val="auto"/>
        </w:rPr>
        <w:t xml:space="preserve">      4 、近</w:t>
      </w:r>
      <w:r>
        <w:rPr>
          <w:rFonts w:hint="eastAsia" w:ascii="宋体" w:hAnsi="宋体" w:cs="宋体"/>
          <w:color w:val="auto"/>
          <w:lang w:val="en-US" w:eastAsia="zh-CN"/>
        </w:rPr>
        <w:t>3</w:t>
      </w:r>
      <w:r>
        <w:rPr>
          <w:rFonts w:hint="eastAsia" w:ascii="宋体" w:hAnsi="宋体" w:cs="宋体"/>
          <w:color w:val="auto"/>
        </w:rPr>
        <w:t>年项目业绩证明材料 （施工合同签订时间自2016年1月1日起至今，至少提供1个项目金额在50万以上项目合同复印件）</w:t>
      </w:r>
    </w:p>
    <w:p>
      <w:pPr>
        <w:pStyle w:val="5"/>
        <w:widowControl/>
        <w:spacing w:before="0" w:beforeAutospacing="0" w:after="0" w:afterAutospacing="0" w:line="368" w:lineRule="atLeast"/>
        <w:rPr>
          <w:rFonts w:hint="eastAsia" w:ascii="宋体" w:hAnsi="宋体" w:eastAsia="宋体" w:cs="宋体"/>
          <w:color w:val="auto"/>
          <w:lang w:val="en-US" w:eastAsia="zh-CN"/>
        </w:rPr>
      </w:pPr>
      <w:r>
        <w:rPr>
          <w:rFonts w:hint="eastAsia" w:ascii="宋体" w:hAnsi="宋体" w:cs="宋体"/>
          <w:color w:val="auto"/>
          <w:lang w:val="en-US" w:eastAsia="zh-CN"/>
        </w:rPr>
        <w:t xml:space="preserve">        6、</w:t>
      </w:r>
      <w:r>
        <w:rPr>
          <w:rFonts w:hint="eastAsia" w:ascii="宋体" w:hAnsi="宋体" w:cs="宋体"/>
          <w:color w:val="auto"/>
          <w:kern w:val="0"/>
          <w:sz w:val="24"/>
        </w:rPr>
        <w:t>提供第三方会计事务所出具的近两年审计报告或银行出具的资信证明</w:t>
      </w:r>
    </w:p>
    <w:p>
      <w:pPr>
        <w:pStyle w:val="5"/>
        <w:widowControl/>
        <w:spacing w:before="0" w:beforeAutospacing="0" w:after="0" w:afterAutospacing="0" w:line="368" w:lineRule="atLeast"/>
        <w:rPr>
          <w:rFonts w:ascii="宋体" w:hAnsi="宋体" w:cs="宋体"/>
          <w:color w:val="auto"/>
        </w:rPr>
      </w:pPr>
      <w:r>
        <w:rPr>
          <w:rFonts w:hint="eastAsia" w:ascii="宋体" w:hAnsi="宋体" w:cs="宋体"/>
          <w:color w:val="auto"/>
        </w:rPr>
        <w:t xml:space="preserve">        5、报价表（详见附件一）</w:t>
      </w:r>
    </w:p>
    <w:p>
      <w:pPr>
        <w:pStyle w:val="5"/>
        <w:widowControl/>
        <w:spacing w:before="0" w:beforeAutospacing="0" w:after="0" w:afterAutospacing="0" w:line="368" w:lineRule="atLeast"/>
        <w:rPr>
          <w:rFonts w:ascii="宋体" w:hAnsi="宋体" w:cs="宋体"/>
          <w:color w:val="auto"/>
        </w:rPr>
      </w:pPr>
      <w:r>
        <w:rPr>
          <w:rFonts w:hint="eastAsia" w:ascii="宋体" w:hAnsi="宋体" w:cs="宋体"/>
          <w:color w:val="auto"/>
        </w:rPr>
        <w:t>    将以上证明资料（复印件需加盖红章）装订成册一式二份，凡不按要求提供相关材料的，视为资格审查不合格。</w:t>
      </w:r>
    </w:p>
    <w:p>
      <w:pPr>
        <w:widowControl/>
        <w:spacing w:before="100" w:beforeAutospacing="1" w:after="100" w:afterAutospacing="1" w:line="330" w:lineRule="atLeast"/>
        <w:jc w:val="left"/>
        <w:rPr>
          <w:rFonts w:ascii="宋体" w:hAnsi="宋体"/>
          <w:b/>
          <w:bCs/>
          <w:color w:val="auto"/>
          <w:kern w:val="0"/>
          <w:sz w:val="24"/>
        </w:rPr>
      </w:pPr>
    </w:p>
    <w:p>
      <w:pPr>
        <w:widowControl/>
        <w:spacing w:before="100" w:beforeAutospacing="1" w:after="100" w:afterAutospacing="1" w:line="330" w:lineRule="atLeast"/>
        <w:jc w:val="left"/>
        <w:rPr>
          <w:rFonts w:ascii="宋体" w:hAnsi="宋体"/>
          <w:b/>
          <w:bCs/>
          <w:color w:val="auto"/>
          <w:kern w:val="0"/>
          <w:sz w:val="24"/>
        </w:rPr>
      </w:pPr>
      <w:r>
        <w:rPr>
          <w:rFonts w:hint="eastAsia" w:ascii="宋体" w:hAnsi="宋体"/>
          <w:b/>
          <w:bCs/>
          <w:color w:val="auto"/>
          <w:kern w:val="0"/>
          <w:sz w:val="24"/>
        </w:rPr>
        <w:t>九、</w:t>
      </w:r>
      <w:bookmarkEnd w:id="18"/>
      <w:r>
        <w:rPr>
          <w:rFonts w:hint="eastAsia" w:ascii="宋体" w:hAnsi="宋体"/>
          <w:b/>
          <w:bCs/>
          <w:color w:val="auto"/>
          <w:kern w:val="0"/>
          <w:sz w:val="24"/>
        </w:rPr>
        <w:t xml:space="preserve">资料送达 </w:t>
      </w:r>
    </w:p>
    <w:p>
      <w:pPr>
        <w:widowControl/>
        <w:spacing w:before="100" w:beforeAutospacing="1" w:after="100" w:afterAutospacing="1" w:line="330" w:lineRule="atLeast"/>
        <w:jc w:val="left"/>
        <w:rPr>
          <w:rFonts w:ascii="宋体" w:hAnsi="宋体"/>
          <w:b/>
          <w:bCs/>
          <w:color w:val="auto"/>
          <w:kern w:val="0"/>
          <w:sz w:val="24"/>
        </w:rPr>
      </w:pPr>
    </w:p>
    <w:p>
      <w:pPr>
        <w:spacing w:line="288" w:lineRule="auto"/>
        <w:jc w:val="left"/>
        <w:rPr>
          <w:rFonts w:ascii="宋体" w:hAnsi="宋体" w:cs="宋体"/>
          <w:color w:val="auto"/>
          <w:kern w:val="0"/>
          <w:sz w:val="24"/>
        </w:rPr>
      </w:pPr>
      <w:bookmarkStart w:id="19" w:name="_Toc325636576"/>
      <w:r>
        <w:rPr>
          <w:rFonts w:hint="eastAsia" w:ascii="宋体" w:hAnsi="宋体" w:cs="宋体"/>
          <w:color w:val="auto"/>
          <w:kern w:val="0"/>
          <w:sz w:val="24"/>
        </w:rPr>
        <w:t xml:space="preserve">    请各潜在投标单位于</w:t>
      </w:r>
      <w:r>
        <w:rPr>
          <w:rFonts w:hint="eastAsia" w:ascii="宋体" w:hAnsi="宋体" w:cs="宋体"/>
          <w:color w:val="auto"/>
          <w:kern w:val="0"/>
          <w:sz w:val="24"/>
          <w:u w:val="single"/>
        </w:rPr>
        <w:t xml:space="preserve">2017年 </w:t>
      </w:r>
      <w:r>
        <w:rPr>
          <w:rFonts w:hint="eastAsia" w:ascii="宋体" w:hAnsi="宋体" w:cs="宋体"/>
          <w:color w:val="auto"/>
          <w:kern w:val="0"/>
          <w:sz w:val="24"/>
          <w:u w:val="single"/>
          <w:lang w:val="en-US" w:eastAsia="zh-CN"/>
        </w:rPr>
        <w:t>9</w:t>
      </w:r>
      <w:r>
        <w:rPr>
          <w:rFonts w:hint="eastAsia" w:ascii="宋体" w:hAnsi="宋体" w:cs="宋体"/>
          <w:color w:val="auto"/>
          <w:kern w:val="0"/>
          <w:sz w:val="24"/>
          <w:u w:val="single"/>
        </w:rPr>
        <w:t>月</w:t>
      </w:r>
      <w:r>
        <w:rPr>
          <w:rFonts w:hint="eastAsia" w:ascii="宋体" w:hAnsi="宋体" w:cs="宋体"/>
          <w:color w:val="auto"/>
          <w:kern w:val="0"/>
          <w:sz w:val="24"/>
          <w:u w:val="single"/>
          <w:lang w:val="en-US" w:eastAsia="zh-CN"/>
        </w:rPr>
        <w:t>11</w:t>
      </w:r>
      <w:bookmarkStart w:id="20" w:name="_GoBack"/>
      <w:bookmarkEnd w:id="20"/>
      <w:r>
        <w:rPr>
          <w:rFonts w:hint="eastAsia" w:ascii="宋体" w:hAnsi="宋体" w:cs="宋体"/>
          <w:color w:val="auto"/>
          <w:kern w:val="0"/>
          <w:sz w:val="24"/>
          <w:u w:val="single"/>
        </w:rPr>
        <w:t>日 17点之前</w:t>
      </w:r>
      <w:r>
        <w:rPr>
          <w:rFonts w:hint="eastAsia" w:ascii="宋体" w:hAnsi="宋体" w:cs="宋体"/>
          <w:color w:val="auto"/>
          <w:kern w:val="0"/>
          <w:sz w:val="24"/>
        </w:rPr>
        <w:t>将投标文件按照第八条要求（注：投标函在第一页）装订成册密封后（一正二副）加盖公章送至我公司，递交地点：南京国际博览中心办公楼  联系人：沈利，联系电话：86753382</w:t>
      </w:r>
      <w:bookmarkEnd w:id="19"/>
      <w:r>
        <w:rPr>
          <w:rFonts w:hint="eastAsia" w:ascii="宋体" w:hAnsi="宋体" w:cs="宋体"/>
          <w:color w:val="auto"/>
          <w:kern w:val="0"/>
          <w:sz w:val="24"/>
        </w:rPr>
        <w:t>。</w:t>
      </w:r>
    </w:p>
    <w:p>
      <w:pPr>
        <w:widowControl/>
        <w:spacing w:before="100" w:beforeAutospacing="1" w:after="100" w:afterAutospacing="1" w:line="360" w:lineRule="auto"/>
        <w:jc w:val="left"/>
        <w:outlineLvl w:val="2"/>
        <w:rPr>
          <w:rFonts w:ascii="宋体" w:hAnsi="宋体" w:cs="宋体"/>
          <w:color w:val="auto"/>
          <w:kern w:val="0"/>
          <w:sz w:val="24"/>
        </w:rPr>
      </w:pPr>
    </w:p>
    <w:p>
      <w:pPr>
        <w:widowControl/>
        <w:spacing w:before="100" w:beforeAutospacing="1" w:after="100" w:afterAutospacing="1" w:line="330" w:lineRule="atLeast"/>
        <w:jc w:val="left"/>
        <w:rPr>
          <w:rFonts w:ascii="宋体" w:hAnsi="宋体" w:cs="宋体"/>
          <w:color w:val="auto"/>
          <w:kern w:val="0"/>
          <w:sz w:val="24"/>
        </w:rPr>
      </w:pPr>
      <w:r>
        <w:rPr>
          <w:rFonts w:hint="eastAsia" w:ascii="宋体" w:hAnsi="宋体" w:cs="宋体"/>
          <w:color w:val="auto"/>
          <w:kern w:val="0"/>
          <w:sz w:val="24"/>
        </w:rPr>
        <w:t> </w:t>
      </w:r>
    </w:p>
    <w:p>
      <w:pPr>
        <w:widowControl/>
        <w:spacing w:before="100" w:beforeAutospacing="1" w:after="100" w:afterAutospacing="1" w:line="330" w:lineRule="atLeast"/>
        <w:jc w:val="left"/>
        <w:rPr>
          <w:rFonts w:ascii="宋体" w:hAnsi="宋体" w:cs="宋体"/>
          <w:color w:val="auto"/>
          <w:kern w:val="0"/>
          <w:sz w:val="24"/>
        </w:rPr>
      </w:pPr>
    </w:p>
    <w:p>
      <w:pPr>
        <w:widowControl/>
        <w:spacing w:before="100" w:beforeAutospacing="1" w:after="100" w:afterAutospacing="1" w:line="330" w:lineRule="atLeast"/>
        <w:jc w:val="left"/>
        <w:rPr>
          <w:rFonts w:ascii="宋体" w:hAnsi="宋体" w:cs="宋体"/>
          <w:color w:val="auto"/>
          <w:kern w:val="0"/>
          <w:sz w:val="24"/>
        </w:rPr>
      </w:pPr>
    </w:p>
    <w:p>
      <w:pPr>
        <w:widowControl/>
        <w:spacing w:before="100" w:beforeAutospacing="1" w:after="100" w:afterAutospacing="1" w:line="330" w:lineRule="atLeast"/>
        <w:jc w:val="left"/>
        <w:rPr>
          <w:rFonts w:ascii="宋体" w:hAnsi="宋体" w:cs="宋体"/>
          <w:color w:val="auto"/>
          <w:kern w:val="0"/>
          <w:sz w:val="24"/>
        </w:rPr>
      </w:pPr>
    </w:p>
    <w:p>
      <w:pPr>
        <w:widowControl/>
        <w:spacing w:before="100" w:beforeAutospacing="1" w:after="100" w:afterAutospacing="1" w:line="330" w:lineRule="atLeast"/>
        <w:jc w:val="left"/>
        <w:rPr>
          <w:rFonts w:ascii="宋体" w:hAnsi="宋体" w:cs="宋体"/>
          <w:color w:val="auto"/>
          <w:kern w:val="0"/>
          <w:sz w:val="24"/>
        </w:rPr>
      </w:pPr>
    </w:p>
    <w:p>
      <w:pPr>
        <w:widowControl/>
        <w:spacing w:line="330" w:lineRule="atLeast"/>
        <w:rPr>
          <w:color w:val="auto"/>
          <w:sz w:val="32"/>
          <w:szCs w:val="32"/>
        </w:rPr>
        <w:sectPr>
          <w:headerReference r:id="rId3" w:type="default"/>
          <w:pgSz w:w="11906" w:h="16838"/>
          <w:pgMar w:top="1134" w:right="1531" w:bottom="1134" w:left="1588" w:header="851" w:footer="992" w:gutter="0"/>
          <w:cols w:space="720" w:num="1"/>
          <w:docGrid w:type="lines" w:linePitch="312" w:charSpace="0"/>
        </w:sectPr>
      </w:pPr>
    </w:p>
    <w:p>
      <w:pPr>
        <w:widowControl/>
        <w:spacing w:line="330" w:lineRule="atLeast"/>
        <w:rPr>
          <w:color w:val="auto"/>
          <w:sz w:val="32"/>
          <w:szCs w:val="32"/>
        </w:rPr>
      </w:pPr>
      <w:r>
        <w:rPr>
          <w:rFonts w:hint="eastAsia"/>
          <w:color w:val="auto"/>
          <w:sz w:val="32"/>
          <w:szCs w:val="32"/>
        </w:rPr>
        <w:t>附件一</w:t>
      </w:r>
    </w:p>
    <w:p>
      <w:pPr>
        <w:widowControl/>
        <w:spacing w:line="330" w:lineRule="atLeast"/>
        <w:jc w:val="center"/>
        <w:rPr>
          <w:rFonts w:ascii="宋体" w:hAnsi="宋体" w:cs="宋体"/>
          <w:color w:val="auto"/>
          <w:kern w:val="0"/>
          <w:sz w:val="32"/>
          <w:szCs w:val="32"/>
        </w:rPr>
      </w:pPr>
      <w:r>
        <w:rPr>
          <w:rFonts w:hint="eastAsia"/>
          <w:color w:val="auto"/>
          <w:sz w:val="32"/>
          <w:szCs w:val="32"/>
        </w:rPr>
        <w:t>报价表及</w:t>
      </w:r>
      <w:r>
        <w:rPr>
          <w:rFonts w:hint="eastAsia"/>
          <w:color w:val="auto"/>
          <w:sz w:val="32"/>
          <w:szCs w:val="32"/>
          <w:lang w:eastAsia="zh-CN"/>
        </w:rPr>
        <w:t>技术要</w:t>
      </w:r>
      <w:r>
        <w:rPr>
          <w:rFonts w:hint="eastAsia"/>
          <w:color w:val="auto"/>
          <w:sz w:val="32"/>
          <w:szCs w:val="32"/>
        </w:rPr>
        <w:t>求</w:t>
      </w:r>
    </w:p>
    <w:p>
      <w:pPr>
        <w:adjustRightInd w:val="0"/>
        <w:snapToGrid w:val="0"/>
        <w:spacing w:line="360" w:lineRule="auto"/>
        <w:rPr>
          <w:rFonts w:ascii="仿宋_GB2312" w:hAnsi="宋体"/>
          <w:b/>
          <w:color w:val="auto"/>
          <w:sz w:val="24"/>
        </w:rPr>
      </w:pPr>
      <w:r>
        <w:rPr>
          <w:rFonts w:hint="eastAsia" w:ascii="仿宋_GB2312" w:hAnsi="宋体"/>
          <w:b/>
          <w:color w:val="auto"/>
          <w:sz w:val="24"/>
        </w:rPr>
        <w:t>一、本次招标需求</w:t>
      </w:r>
    </w:p>
    <w:p>
      <w:pPr>
        <w:adjustRightInd w:val="0"/>
        <w:snapToGrid w:val="0"/>
        <w:spacing w:line="360" w:lineRule="auto"/>
        <w:rPr>
          <w:rFonts w:ascii="宋体" w:hAnsi="宋体"/>
          <w:color w:val="auto"/>
          <w:sz w:val="24"/>
        </w:rPr>
      </w:pPr>
      <w:r>
        <w:rPr>
          <w:rFonts w:hint="eastAsia" w:ascii="宋体" w:hAnsi="宋体"/>
          <w:color w:val="auto"/>
          <w:sz w:val="24"/>
        </w:rPr>
        <w:t>1、</w:t>
      </w:r>
      <w:r>
        <w:rPr>
          <w:rFonts w:hint="eastAsia" w:ascii="宋体" w:hAnsi="宋体"/>
          <w:color w:val="auto"/>
          <w:sz w:val="24"/>
          <w:lang w:val="en-US" w:eastAsia="zh-CN"/>
        </w:rPr>
        <w:t>南京国际博览会议中心变电所改造维修</w:t>
      </w:r>
      <w:r>
        <w:rPr>
          <w:rFonts w:hint="eastAsia" w:ascii="宋体" w:hAnsi="宋体"/>
          <w:color w:val="auto"/>
          <w:sz w:val="24"/>
        </w:rPr>
        <w:t>。</w:t>
      </w:r>
    </w:p>
    <w:p>
      <w:pPr>
        <w:adjustRightInd w:val="0"/>
        <w:snapToGrid w:val="0"/>
        <w:spacing w:line="360" w:lineRule="auto"/>
        <w:rPr>
          <w:rFonts w:ascii="宋体" w:hAnsi="宋体"/>
          <w:color w:val="auto"/>
          <w:sz w:val="24"/>
        </w:rPr>
      </w:pPr>
      <w:r>
        <w:rPr>
          <w:rFonts w:hint="eastAsia" w:ascii="宋体" w:hAnsi="宋体"/>
          <w:color w:val="auto"/>
          <w:sz w:val="24"/>
        </w:rPr>
        <w:t>2、时间：2017年</w:t>
      </w:r>
      <w:r>
        <w:rPr>
          <w:rFonts w:hint="eastAsia" w:ascii="宋体" w:hAnsi="宋体"/>
          <w:color w:val="auto"/>
          <w:sz w:val="24"/>
          <w:lang w:val="en-US" w:eastAsia="zh-CN"/>
        </w:rPr>
        <w:t xml:space="preserve"> 9</w:t>
      </w:r>
      <w:r>
        <w:rPr>
          <w:rFonts w:hint="eastAsia" w:ascii="宋体" w:hAnsi="宋体"/>
          <w:color w:val="auto"/>
          <w:sz w:val="24"/>
        </w:rPr>
        <w:t>月</w:t>
      </w:r>
      <w:r>
        <w:rPr>
          <w:rFonts w:hint="eastAsia" w:ascii="宋体" w:hAnsi="宋体"/>
          <w:color w:val="auto"/>
          <w:sz w:val="24"/>
          <w:lang w:val="en-US" w:eastAsia="zh-CN"/>
        </w:rPr>
        <w:t xml:space="preserve"> 30 </w:t>
      </w:r>
      <w:r>
        <w:rPr>
          <w:rFonts w:hint="eastAsia" w:ascii="宋体" w:hAnsi="宋体"/>
          <w:color w:val="auto"/>
          <w:sz w:val="24"/>
        </w:rPr>
        <w:t>日之前完成安装、调试、验收。</w:t>
      </w:r>
    </w:p>
    <w:p>
      <w:pPr>
        <w:adjustRightInd w:val="0"/>
        <w:snapToGrid w:val="0"/>
        <w:spacing w:line="360" w:lineRule="auto"/>
        <w:rPr>
          <w:rFonts w:ascii="宋体" w:hAnsi="宋体"/>
          <w:b/>
          <w:color w:val="auto"/>
          <w:sz w:val="24"/>
        </w:rPr>
      </w:pPr>
      <w:r>
        <w:rPr>
          <w:rFonts w:hint="eastAsia" w:ascii="宋体" w:hAnsi="宋体"/>
          <w:color w:val="auto"/>
          <w:sz w:val="24"/>
        </w:rPr>
        <w:t>3、</w:t>
      </w:r>
      <w:r>
        <w:rPr>
          <w:rFonts w:hint="eastAsia" w:ascii="宋体" w:hAnsi="宋体"/>
          <w:b/>
          <w:color w:val="auto"/>
          <w:sz w:val="24"/>
        </w:rPr>
        <w:t>标识技术要求：</w:t>
      </w:r>
    </w:p>
    <w:p>
      <w:pPr>
        <w:widowControl/>
        <w:rPr>
          <w:rFonts w:ascii="微软雅黑" w:hAnsi="微软雅黑" w:eastAsia="微软雅黑"/>
          <w:color w:val="auto"/>
          <w:kern w:val="0"/>
          <w:sz w:val="24"/>
        </w:rPr>
      </w:pPr>
      <w:r>
        <w:rPr>
          <w:rFonts w:hint="eastAsia" w:ascii="微软雅黑" w:hAnsi="微软雅黑" w:eastAsia="微软雅黑"/>
          <w:color w:val="auto"/>
          <w:kern w:val="0"/>
          <w:sz w:val="24"/>
        </w:rPr>
        <w:t>项目名称：</w:t>
      </w:r>
      <w:r>
        <w:rPr>
          <w:rFonts w:hint="eastAsia" w:ascii="宋体" w:hAnsi="宋体"/>
          <w:color w:val="auto"/>
          <w:sz w:val="24"/>
          <w:lang w:val="en-US" w:eastAsia="zh-CN"/>
        </w:rPr>
        <w:t>南京国际博览会议中心变电所改造维修</w:t>
      </w:r>
      <w:r>
        <w:rPr>
          <w:rFonts w:hint="eastAsia" w:ascii="微软雅黑" w:hAnsi="微软雅黑" w:eastAsia="微软雅黑"/>
          <w:color w:val="auto"/>
          <w:kern w:val="0"/>
          <w:sz w:val="24"/>
        </w:rPr>
        <w:t>相关服务清单报价</w:t>
      </w:r>
    </w:p>
    <w:tbl>
      <w:tblPr>
        <w:tblStyle w:val="8"/>
        <w:tblpPr w:leftFromText="180" w:rightFromText="180" w:vertAnchor="text" w:horzAnchor="page" w:tblpX="1278" w:tblpY="17"/>
        <w:tblOverlap w:val="never"/>
        <w:tblW w:w="147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37"/>
        <w:gridCol w:w="1705"/>
        <w:gridCol w:w="1027"/>
        <w:gridCol w:w="5605"/>
        <w:gridCol w:w="4378"/>
        <w:gridCol w:w="1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9"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序号</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设备名称</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数量</w:t>
            </w:r>
          </w:p>
        </w:tc>
        <w:tc>
          <w:tcPr>
            <w:tcW w:w="5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拟选品牌</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项目特征</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38"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微机保护</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15</w:t>
            </w:r>
          </w:p>
        </w:tc>
        <w:tc>
          <w:tcPr>
            <w:tcW w:w="5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1、南京天塑自动化系统控制有限公司NTS611或NTS-700通用保护测控装置；2、南京元图智能NYT850微机保护测控装置；                           3、上海安科瑞电气有限公司AM5系列微机保护装置</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设备更换后进行保护校验，整组传动试验，并出具试验报告。</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69"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2</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多功能表（数量表）</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138</w:t>
            </w:r>
          </w:p>
        </w:tc>
        <w:tc>
          <w:tcPr>
            <w:tcW w:w="5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1、居正电气（上海）有限公司SQ5VX系列电力仪表；                   2、上海安科瑞电气有限公司PZ96L系列多功能仪表；                   3、南京深科博业电力自动化有限公司DMC200P系列；</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sz w:val="24"/>
                <w:szCs w:val="24"/>
                <w:u w:val="none"/>
              </w:rPr>
            </w:pPr>
            <w:r>
              <w:rPr>
                <w:rFonts w:hint="eastAsia" w:ascii="仿宋" w:hAnsi="仿宋" w:eastAsia="仿宋" w:cs="仿宋"/>
                <w:i w:val="0"/>
                <w:color w:val="auto"/>
                <w:kern w:val="0"/>
                <w:sz w:val="24"/>
                <w:szCs w:val="24"/>
                <w:u w:val="none"/>
                <w:lang w:val="en-US" w:eastAsia="zh-CN" w:bidi="ar"/>
              </w:rPr>
              <w:t xml:space="preserve">  原多功能表开孔为圆形，尺寸为Φ100，所有面板需要重新开孔，新表安装后必须遮挡原开孔，不能留孔隙，接线时必须根据原接线进行改接。</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69" w:hRule="atLeast"/>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3</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设备维修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一批</w:t>
            </w:r>
          </w:p>
        </w:tc>
        <w:tc>
          <w:tcPr>
            <w:tcW w:w="5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3"/>
              </w:numPr>
              <w:suppressLineNumbers w:val="0"/>
              <w:tabs>
                <w:tab w:val="left" w:pos="1275"/>
              </w:tabs>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AH8柜前电磁锁。                            2.H7柜开关状态指示仪型号NYD-SSD-11CGJ-2004。  3.SVS无功补偿。                                4.直流屏、高压柜、母联柜、出线电缆孔均需重新封堵等</w:t>
            </w:r>
          </w:p>
          <w:p>
            <w:pPr>
              <w:keepNext w:val="0"/>
              <w:keepLines w:val="0"/>
              <w:widowControl/>
              <w:numPr>
                <w:ilvl w:val="0"/>
                <w:numId w:val="0"/>
              </w:numPr>
              <w:suppressLineNumbers w:val="0"/>
              <w:tabs>
                <w:tab w:val="left" w:pos="1275"/>
              </w:tabs>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 xml:space="preserve"> </w:t>
            </w:r>
            <w:r>
              <w:rPr>
                <w:rFonts w:hint="eastAsia" w:ascii="仿宋" w:hAnsi="仿宋" w:eastAsia="仿宋" w:cs="仿宋"/>
                <w:b/>
                <w:bCs/>
                <w:i w:val="0"/>
                <w:color w:val="auto"/>
                <w:kern w:val="0"/>
                <w:sz w:val="24"/>
                <w:szCs w:val="24"/>
                <w:u w:val="none"/>
                <w:lang w:val="en-US" w:eastAsia="zh-CN" w:bidi="ar"/>
              </w:rPr>
              <w:t>注：在报价前需要现场查看后，再自行报价</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auto"/>
                <w:kern w:val="0"/>
                <w:sz w:val="24"/>
                <w:szCs w:val="24"/>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9" w:hRule="atLeast"/>
        </w:trPr>
        <w:tc>
          <w:tcPr>
            <w:tcW w:w="137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auto"/>
                <w:sz w:val="24"/>
                <w:szCs w:val="24"/>
                <w:u w:val="none"/>
              </w:rPr>
            </w:pPr>
          </w:p>
        </w:tc>
      </w:tr>
    </w:tbl>
    <w:p>
      <w:pPr>
        <w:spacing w:line="300" w:lineRule="auto"/>
        <w:rPr>
          <w:rFonts w:hint="eastAsia" w:ascii="微软雅黑" w:hAnsi="微软雅黑" w:eastAsia="微软雅黑"/>
          <w:color w:val="auto"/>
          <w:kern w:val="0"/>
          <w:sz w:val="24"/>
          <w:lang w:eastAsia="zh-CN"/>
        </w:rPr>
      </w:pPr>
    </w:p>
    <w:p>
      <w:pPr>
        <w:spacing w:line="300" w:lineRule="auto"/>
        <w:ind w:firstLine="480" w:firstLineChars="200"/>
        <w:rPr>
          <w:rFonts w:hint="eastAsia" w:ascii="微软雅黑" w:hAnsi="微软雅黑" w:eastAsia="微软雅黑"/>
          <w:color w:val="auto"/>
          <w:kern w:val="0"/>
          <w:sz w:val="24"/>
        </w:rPr>
      </w:pPr>
    </w:p>
    <w:p>
      <w:pPr>
        <w:spacing w:line="300" w:lineRule="auto"/>
        <w:ind w:firstLine="480" w:firstLineChars="200"/>
        <w:rPr>
          <w:rFonts w:ascii="宋体" w:hAnsi="宋体"/>
          <w:color w:val="auto"/>
          <w:kern w:val="0"/>
          <w:sz w:val="24"/>
        </w:rPr>
      </w:pPr>
      <w:r>
        <w:rPr>
          <w:rFonts w:hint="eastAsia" w:ascii="宋体" w:hAnsi="宋体" w:cs="宋体"/>
          <w:color w:val="auto"/>
          <w:kern w:val="0"/>
          <w:sz w:val="24"/>
        </w:rPr>
        <w:t>注 （1）本次</w:t>
      </w:r>
      <w:r>
        <w:rPr>
          <w:rFonts w:hint="eastAsia" w:cs="宋体"/>
          <w:color w:val="auto"/>
          <w:kern w:val="0"/>
          <w:sz w:val="24"/>
        </w:rPr>
        <w:t>投标报价</w:t>
      </w:r>
      <w:r>
        <w:rPr>
          <w:rFonts w:hint="eastAsia" w:ascii="宋体" w:hAnsi="宋体"/>
          <w:color w:val="auto"/>
          <w:kern w:val="0"/>
          <w:sz w:val="24"/>
        </w:rPr>
        <w:t>包括但不限于货物成本、采购费、加工制造费、运输费、包装费、劳务费、卸货费、保管、缺陷修补费、质保费、保险、利润、税金、安装、政策性文件规定及合同包含的所有风险、责任等各项应有费用。</w:t>
      </w:r>
    </w:p>
    <w:p>
      <w:pPr>
        <w:spacing w:line="360" w:lineRule="auto"/>
        <w:rPr>
          <w:rFonts w:ascii="仿宋_GB2312"/>
          <w:color w:val="auto"/>
          <w:sz w:val="24"/>
        </w:rPr>
      </w:pPr>
      <w:r>
        <w:rPr>
          <w:rFonts w:hint="eastAsia" w:ascii="宋体" w:hAnsi="宋体"/>
          <w:color w:val="auto"/>
          <w:sz w:val="24"/>
        </w:rPr>
        <w:t xml:space="preserve">    （2）决算：如有变更，报价表中有的项目，按报价表的方式增减；没有的项目，材料价格按市场价，施工费、利润、税金等按报价表同一计算标准计算。</w:t>
      </w:r>
    </w:p>
    <w:p>
      <w:pPr>
        <w:tabs>
          <w:tab w:val="left" w:pos="360"/>
        </w:tabs>
        <w:rPr>
          <w:color w:val="auto"/>
          <w:sz w:val="28"/>
        </w:rPr>
      </w:pPr>
    </w:p>
    <w:p>
      <w:pPr>
        <w:tabs>
          <w:tab w:val="left" w:pos="360"/>
        </w:tabs>
        <w:rPr>
          <w:color w:val="auto"/>
          <w:sz w:val="28"/>
        </w:rPr>
      </w:pPr>
    </w:p>
    <w:p>
      <w:pPr>
        <w:tabs>
          <w:tab w:val="left" w:pos="360"/>
        </w:tabs>
        <w:rPr>
          <w:color w:val="auto"/>
          <w:sz w:val="28"/>
        </w:rPr>
      </w:pPr>
    </w:p>
    <w:p>
      <w:pPr>
        <w:tabs>
          <w:tab w:val="left" w:pos="360"/>
        </w:tabs>
        <w:rPr>
          <w:color w:val="auto"/>
          <w:sz w:val="28"/>
        </w:rPr>
      </w:pPr>
    </w:p>
    <w:p>
      <w:pPr>
        <w:tabs>
          <w:tab w:val="left" w:pos="360"/>
        </w:tabs>
        <w:rPr>
          <w:color w:val="auto"/>
          <w:sz w:val="28"/>
        </w:rPr>
      </w:pPr>
    </w:p>
    <w:p>
      <w:pPr>
        <w:tabs>
          <w:tab w:val="left" w:pos="360"/>
        </w:tabs>
        <w:rPr>
          <w:color w:val="auto"/>
          <w:sz w:val="28"/>
        </w:rPr>
        <w:sectPr>
          <w:pgSz w:w="16838" w:h="11906" w:orient="landscape"/>
          <w:pgMar w:top="1587" w:right="1134" w:bottom="1531" w:left="1134" w:header="851" w:footer="992" w:gutter="0"/>
          <w:cols w:space="720" w:num="1"/>
          <w:docGrid w:type="lines" w:linePitch="313" w:charSpace="0"/>
        </w:sectPr>
      </w:pPr>
    </w:p>
    <w:p>
      <w:pPr>
        <w:snapToGrid w:val="0"/>
        <w:spacing w:before="190" w:beforeLines="50" w:after="190" w:afterLines="50"/>
        <w:rPr>
          <w:rFonts w:hint="eastAsia" w:ascii="仿宋_GB2312" w:hAnsi="宋体" w:eastAsia="仿宋_GB2312" w:cs="宋体"/>
          <w:b/>
          <w:color w:val="auto"/>
          <w:sz w:val="24"/>
          <w:lang w:eastAsia="zh-CN"/>
        </w:rPr>
      </w:pPr>
      <w:r>
        <w:rPr>
          <w:rFonts w:hint="eastAsia" w:ascii="仿宋_GB2312" w:hAnsi="宋体" w:eastAsia="仿宋_GB2312" w:cs="宋体"/>
          <w:b/>
          <w:color w:val="auto"/>
          <w:sz w:val="24"/>
          <w:lang w:eastAsia="zh-CN"/>
        </w:rPr>
        <w:t>二、技术要求</w:t>
      </w:r>
    </w:p>
    <w:p>
      <w:pPr>
        <w:snapToGrid w:val="0"/>
        <w:spacing w:before="190" w:beforeLines="50" w:after="190" w:afterLines="50"/>
        <w:ind w:firstLine="426" w:firstLineChars="177"/>
        <w:rPr>
          <w:rFonts w:hint="eastAsia" w:ascii="仿宋_GB2312" w:hAnsi="宋体" w:eastAsia="仿宋_GB2312"/>
          <w:b/>
          <w:bCs/>
          <w:color w:val="auto"/>
          <w:sz w:val="24"/>
        </w:rPr>
      </w:pPr>
      <w:r>
        <w:rPr>
          <w:rFonts w:hint="eastAsia" w:ascii="仿宋_GB2312" w:hAnsi="宋体" w:eastAsia="仿宋_GB2312" w:cs="宋体"/>
          <w:b/>
          <w:color w:val="auto"/>
          <w:sz w:val="24"/>
        </w:rPr>
        <w:t>（一）</w:t>
      </w:r>
      <w:r>
        <w:rPr>
          <w:rFonts w:hint="eastAsia" w:ascii="仿宋_GB2312" w:hAnsi="宋体" w:eastAsia="仿宋_GB2312"/>
          <w:b/>
          <w:bCs/>
          <w:color w:val="auto"/>
          <w:sz w:val="24"/>
        </w:rPr>
        <w:t>多功能表更换</w:t>
      </w:r>
    </w:p>
    <w:p>
      <w:pPr>
        <w:snapToGrid w:val="0"/>
        <w:spacing w:before="190" w:beforeLines="50" w:after="190" w:afterLines="50"/>
        <w:ind w:firstLine="424" w:firstLineChars="177"/>
        <w:rPr>
          <w:rFonts w:hint="eastAsia" w:ascii="仿宋_GB2312" w:hAnsi="宋体" w:eastAsia="仿宋_GB2312"/>
          <w:color w:val="auto"/>
          <w:sz w:val="24"/>
        </w:rPr>
      </w:pPr>
      <w:r>
        <w:rPr>
          <w:rFonts w:hint="eastAsia" w:ascii="仿宋_GB2312" w:hAnsi="宋体" w:eastAsia="仿宋_GB2312"/>
          <w:bCs/>
          <w:color w:val="auto"/>
          <w:sz w:val="24"/>
        </w:rPr>
        <w:t>将原变电所内所有数显表进行更换，具体规格数量见</w:t>
      </w:r>
      <w:r>
        <w:rPr>
          <w:rFonts w:hint="eastAsia" w:ascii="仿宋_GB2312" w:eastAsia="仿宋_GB2312"/>
          <w:color w:val="auto"/>
          <w:kern w:val="0"/>
          <w:sz w:val="24"/>
        </w:rPr>
        <w:t>“工作量清单”。</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技术要求：</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1.1、改造选择仪表全部采用同尺寸仪表或大于原仪表开孔尺寸。</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1.2、电流回路采用2.5mm2多股软铜线，其它回路不小于1.5mm2多股软铜线，通讯回路连接线不得小于0.75mm2多股软铜线屏蔽电缆。原有连接线长度明显不足时，应予以更换，不得硬拉硬拽。</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1.3、所有铜线与端子、设备连接时采用预绝缘冷压端子，端子处不得露铜。</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1.4、所有二次连接线，包括原有及新加导线，两端应有标号，标号采用号码管打印机打印，不得采用手写。标号应与原柜内相同回路标号相同，如原柜无相同回路，回路标号应符合规范要求。</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1.5、每台数显表485端口采用屏蔽电缆引至二次插件接线端子。</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1.6、所有二次线应绑扎整齐，连接处应留有适量余度。</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1.7因原有数显表全部为圆孔，本次改造时所有柜门板需要开孔，开孔需确保两点：</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1.7.1开孔尺寸应合适，不得过大，不得在正面看到孔隙，仪表安装应牢固，不得歪斜。</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1.7.2在柜面开孔时，应注意柜面温度，不得使塑料融化、油漆变色等影响美观问题发生。</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开孔过程中如发生以上问题，施工方应更换门板等配件，更换的门板应与原门板尺寸、颜色等一致。</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1.8仪表更换完成后，应使用仪器对每台多功能表及其回路进行校验检查，并出具报告，报告中应列明每项实测数据，数据至少包括每相电流、电压、有功功率、无功功率、视在功率、功率因数等。</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1.9对于更换下的仪表，应使用上条所列方法进行校验，将不合格仪表剔除，合格仪表进行标识、包装、封存，交用户妥善保管。</w:t>
      </w:r>
    </w:p>
    <w:p>
      <w:pPr>
        <w:snapToGrid w:val="0"/>
        <w:spacing w:before="190" w:beforeLines="50" w:after="190" w:afterLines="50"/>
        <w:ind w:firstLine="426" w:firstLineChars="177"/>
        <w:rPr>
          <w:rFonts w:hint="eastAsia" w:ascii="仿宋_GB2312" w:hAnsi="宋体" w:eastAsia="仿宋_GB2312"/>
          <w:b/>
          <w:bCs/>
          <w:color w:val="auto"/>
          <w:sz w:val="24"/>
        </w:rPr>
      </w:pPr>
      <w:r>
        <w:rPr>
          <w:rFonts w:hint="eastAsia" w:ascii="仿宋_GB2312" w:hAnsi="宋体" w:eastAsia="仿宋_GB2312" w:cs="宋体"/>
          <w:b/>
          <w:color w:val="auto"/>
          <w:sz w:val="24"/>
        </w:rPr>
        <w:t>（二）</w:t>
      </w:r>
      <w:r>
        <w:rPr>
          <w:rFonts w:hint="eastAsia" w:ascii="仿宋_GB2312" w:hAnsi="宋体" w:eastAsia="仿宋_GB2312"/>
          <w:b/>
          <w:bCs/>
          <w:color w:val="auto"/>
          <w:sz w:val="24"/>
        </w:rPr>
        <w:t>微机保护装置更换</w:t>
      </w:r>
    </w:p>
    <w:p>
      <w:pPr>
        <w:snapToGrid w:val="0"/>
        <w:spacing w:before="190" w:beforeLines="50" w:after="190" w:afterLines="50"/>
        <w:ind w:firstLine="424" w:firstLineChars="177"/>
        <w:rPr>
          <w:rFonts w:hint="eastAsia" w:ascii="仿宋_GB2312" w:hAnsi="宋体" w:eastAsia="仿宋_GB2312"/>
          <w:color w:val="auto"/>
          <w:sz w:val="24"/>
        </w:rPr>
      </w:pPr>
      <w:r>
        <w:rPr>
          <w:rFonts w:hint="eastAsia" w:ascii="仿宋_GB2312" w:hAnsi="宋体" w:eastAsia="仿宋_GB2312"/>
          <w:bCs/>
          <w:color w:val="auto"/>
          <w:sz w:val="24"/>
        </w:rPr>
        <w:t>将原变电所内所有微机保护装置进行更换，具体规格数量见</w:t>
      </w:r>
      <w:r>
        <w:rPr>
          <w:rFonts w:hint="eastAsia" w:ascii="仿宋_GB2312" w:eastAsia="仿宋_GB2312"/>
          <w:color w:val="auto"/>
          <w:kern w:val="0"/>
          <w:sz w:val="24"/>
        </w:rPr>
        <w:t>“工作量清单”。</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技术要求：</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1.1投标方选择继电保护装置时，应充分考虑原有高压柜控制回路及二次接线，尽量避免更换、调整原有配电设备，必须确保原有功能无任何减少或受限。</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1.2因原有高压柜二次图纸遗失，投标方应对现场设备进行充分检查识别，对二次回路仔细核对，避免接线错误，避免造成意外停电等事故。</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1.3、电流回路采用2.5mm2多股软铜线，其它回路不小于1.5mm2多股软铜线，接地线采用2.5mm2黄绿夹色铜线，通讯回路连接线不得小于0.75mm2多股软铜线屏蔽电缆。原有连接线长度明显不足时，应予以更换，不得硬拉硬拽。</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1.4、所有铜线与端子、设备连接时采用预绝缘冷压端子，端子处不得露铜。</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1.5、所有二次连接线，包括原有及新加导线，两端应有标号，标号采用号码管打印机打印，不得采用手写。标号应与原柜内相同回路标号相同，如原柜无相同回路，回路标号应符合规范要求。</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1.6、所有二次线应绑扎整齐，连接处应留有适量余度。</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1.7本次改造时所有柜门板如需要开孔，需确保两点：</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1.7.1开孔尺寸应合适，不得过大，不得在正面看到孔隙，装置安装应牢固，不得歪斜。</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1.7.2在柜面开孔时，应注意柜面温度，不得使塑料融化、油漆变色等影响美观问题发生。</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开孔过程中如发生以上问题，施工方应更换门板等配件，更换的门板应与原门板尺寸、颜色等一致。</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1.8微机保护装置更换完成后，应使用仪器对每台保护装置及其回路进行校验检查，并出具报告，报告中应列明每项实测数据，数据至少包括模拟量（电流电压功率等）、开关量等。并对保护进行单体校验、整组联动试验，总柜、母联柜还需进行双电源联锁、柜间联锁传动试验。</w:t>
      </w:r>
    </w:p>
    <w:p>
      <w:pPr>
        <w:ind w:firstLine="480" w:firstLineChars="200"/>
        <w:rPr>
          <w:rFonts w:hint="eastAsia" w:ascii="仿宋_GB2312" w:hAnsi="宋体" w:eastAsia="仿宋_GB2312" w:cs="宋体"/>
          <w:color w:val="auto"/>
          <w:sz w:val="24"/>
        </w:rPr>
      </w:pPr>
      <w:r>
        <w:rPr>
          <w:rFonts w:hint="eastAsia" w:ascii="仿宋_GB2312" w:hAnsi="宋体" w:eastAsia="仿宋_GB2312" w:cs="宋体"/>
          <w:color w:val="auto"/>
          <w:sz w:val="24"/>
        </w:rPr>
        <w:t>1.9对于更换下的微机保护装置，应使用上条所列方法进行校验，将不合格装置剔除，合格仪表进行标识、包装、封存，交用户妥善保管。</w:t>
      </w:r>
    </w:p>
    <w:p>
      <w:pPr>
        <w:ind w:firstLine="482" w:firstLineChars="200"/>
        <w:rPr>
          <w:rFonts w:hint="eastAsia" w:ascii="仿宋_GB2312" w:hAnsi="宋体" w:eastAsia="仿宋_GB2312" w:cs="宋体"/>
          <w:b/>
          <w:color w:val="auto"/>
          <w:sz w:val="24"/>
        </w:rPr>
      </w:pPr>
    </w:p>
    <w:p>
      <w:pPr>
        <w:ind w:firstLine="482" w:firstLineChars="200"/>
        <w:rPr>
          <w:rFonts w:hint="eastAsia" w:ascii="仿宋_GB2312" w:hAnsi="宋体" w:eastAsia="仿宋_GB2312" w:cs="宋体"/>
          <w:b/>
          <w:color w:val="auto"/>
          <w:sz w:val="24"/>
        </w:rPr>
      </w:pPr>
      <w:r>
        <w:rPr>
          <w:rFonts w:hint="eastAsia" w:ascii="仿宋_GB2312" w:hAnsi="宋体" w:eastAsia="仿宋_GB2312" w:cs="宋体"/>
          <w:b/>
          <w:color w:val="auto"/>
          <w:sz w:val="24"/>
        </w:rPr>
        <w:t>（三）柜内封堵</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1.1所有高低压柜内与外界联通的大于15mm的孔洞，包括一次电缆、二次电缆孔洞，变压器室孔洞，全部予以封堵。</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1.2封堵材料全部采用耐火材料，如防火板、钢板、防火油泥等。</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1.3封堵应牢固，带电体上部、较大面积的封堵板应采用螺栓固定于柜体上，并用防火油泥封堵孔隙。</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1.4柜内封堵牢固，油泥应厚实、平整。</w:t>
      </w:r>
    </w:p>
    <w:p>
      <w:pPr>
        <w:snapToGrid w:val="0"/>
        <w:spacing w:before="190" w:beforeLines="50" w:after="190" w:afterLines="50"/>
        <w:ind w:firstLine="426" w:firstLineChars="177"/>
        <w:rPr>
          <w:rFonts w:hint="eastAsia" w:ascii="仿宋_GB2312" w:hAnsi="宋体" w:eastAsia="仿宋_GB2312" w:cs="宋体"/>
          <w:b/>
          <w:color w:val="auto"/>
          <w:sz w:val="24"/>
        </w:rPr>
      </w:pPr>
      <w:r>
        <w:rPr>
          <w:rFonts w:hint="eastAsia" w:ascii="仿宋_GB2312" w:hAnsi="宋体" w:eastAsia="仿宋_GB2312" w:cs="宋体"/>
          <w:b/>
          <w:color w:val="auto"/>
          <w:sz w:val="24"/>
        </w:rPr>
        <w:t>（四）其它维修</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1、其余设备的维修尽量使用原型号期间，如原型号产品已停产，尽量采用原尺寸规格产品，避免对柜体结构做不必要的改动。</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2、所有维修需恢复其原有功能。</w:t>
      </w:r>
    </w:p>
    <w:p>
      <w:pPr>
        <w:snapToGrid w:val="0"/>
        <w:spacing w:before="190" w:beforeLines="50" w:after="190" w:afterLines="50"/>
        <w:ind w:firstLine="424" w:firstLineChars="177"/>
        <w:rPr>
          <w:rFonts w:hint="eastAsia" w:ascii="仿宋_GB2312" w:hAnsi="宋体" w:eastAsia="仿宋_GB2312" w:cs="宋体"/>
          <w:color w:val="auto"/>
          <w:sz w:val="24"/>
        </w:rPr>
      </w:pPr>
      <w:r>
        <w:rPr>
          <w:rFonts w:hint="eastAsia" w:ascii="仿宋_GB2312" w:hAnsi="宋体" w:eastAsia="仿宋_GB2312" w:cs="宋体"/>
          <w:color w:val="auto"/>
          <w:sz w:val="24"/>
        </w:rPr>
        <w:t>3、检查设备损坏的原因，并予以优化处理，避免类似故障再度发生。</w:t>
      </w:r>
    </w:p>
    <w:p>
      <w:pPr>
        <w:pStyle w:val="2"/>
        <w:snapToGrid w:val="0"/>
        <w:spacing w:before="190" w:beforeLines="50" w:after="190" w:afterLines="50"/>
        <w:ind w:firstLine="426" w:firstLineChars="177"/>
        <w:rPr>
          <w:rFonts w:hint="eastAsia" w:ascii="仿宋_GB2312" w:eastAsia="仿宋_GB2312"/>
          <w:b/>
          <w:color w:val="auto"/>
          <w:sz w:val="24"/>
          <w:szCs w:val="24"/>
        </w:rPr>
      </w:pPr>
      <w:r>
        <w:rPr>
          <w:rFonts w:hint="eastAsia" w:ascii="仿宋_GB2312" w:eastAsia="仿宋_GB2312"/>
          <w:b/>
          <w:snapToGrid w:val="0"/>
          <w:color w:val="auto"/>
          <w:sz w:val="24"/>
          <w:szCs w:val="24"/>
        </w:rPr>
        <w:t>（五）技术服务和现场测试</w:t>
      </w:r>
    </w:p>
    <w:p>
      <w:pPr>
        <w:snapToGrid w:val="0"/>
        <w:spacing w:before="190" w:beforeLines="50" w:after="190" w:afterLines="50"/>
        <w:ind w:firstLine="424" w:firstLineChars="177"/>
        <w:rPr>
          <w:rFonts w:hint="eastAsia" w:ascii="仿宋_GB2312" w:hAnsi="宋体" w:eastAsia="仿宋_GB2312"/>
          <w:color w:val="auto"/>
          <w:sz w:val="24"/>
        </w:rPr>
      </w:pPr>
      <w:r>
        <w:rPr>
          <w:rFonts w:hint="eastAsia" w:ascii="仿宋_GB2312" w:hAnsi="宋体" w:eastAsia="仿宋_GB2312"/>
          <w:color w:val="auto"/>
          <w:sz w:val="24"/>
        </w:rPr>
        <w:t>1.卖方应及时提供买方采购设备有关的资料和数据。</w:t>
      </w:r>
    </w:p>
    <w:p>
      <w:pPr>
        <w:snapToGrid w:val="0"/>
        <w:spacing w:before="190" w:beforeLines="50" w:after="190" w:afterLines="50"/>
        <w:ind w:firstLine="424" w:firstLineChars="177"/>
        <w:rPr>
          <w:rFonts w:hint="eastAsia" w:ascii="仿宋_GB2312" w:hAnsi="宋体" w:eastAsia="仿宋_GB2312"/>
          <w:color w:val="auto"/>
          <w:sz w:val="24"/>
        </w:rPr>
      </w:pPr>
      <w:r>
        <w:rPr>
          <w:rFonts w:hint="eastAsia" w:ascii="仿宋_GB2312" w:eastAsia="仿宋_GB2312"/>
          <w:color w:val="auto"/>
          <w:kern w:val="0"/>
          <w:sz w:val="24"/>
        </w:rPr>
        <w:t>2.设备到达买方指定地点后，卖方派人员到现场参加开箱验收，否则视同放弃此项权利。</w:t>
      </w:r>
    </w:p>
    <w:p>
      <w:pPr>
        <w:snapToGrid w:val="0"/>
        <w:spacing w:before="190" w:beforeLines="50" w:after="190" w:afterLines="50"/>
        <w:ind w:firstLine="424" w:firstLineChars="177"/>
        <w:rPr>
          <w:rFonts w:hint="eastAsia" w:ascii="仿宋_GB2312" w:hAnsi="宋体" w:eastAsia="仿宋_GB2312"/>
          <w:color w:val="auto"/>
          <w:sz w:val="24"/>
        </w:rPr>
      </w:pPr>
      <w:r>
        <w:rPr>
          <w:rFonts w:hint="eastAsia" w:ascii="仿宋_GB2312" w:hAnsi="宋体" w:eastAsia="仿宋_GB2312"/>
          <w:color w:val="auto"/>
          <w:sz w:val="24"/>
        </w:rPr>
        <w:t>3.卖方有义务配合、协调其它承包商完成与其设备相关的控制、显示、接线、系统调试等工作。并</w:t>
      </w:r>
      <w:r>
        <w:rPr>
          <w:rFonts w:hint="eastAsia" w:ascii="仿宋_GB2312" w:eastAsia="仿宋_GB2312"/>
          <w:color w:val="auto"/>
          <w:sz w:val="24"/>
        </w:rPr>
        <w:t>提供随时解答买方疑难问题的服务</w:t>
      </w:r>
    </w:p>
    <w:p>
      <w:pPr>
        <w:snapToGrid w:val="0"/>
        <w:spacing w:before="190" w:beforeLines="50" w:after="190" w:afterLines="50"/>
        <w:ind w:firstLine="424" w:firstLineChars="177"/>
        <w:rPr>
          <w:rFonts w:hint="eastAsia" w:ascii="仿宋_GB2312" w:hAnsi="宋体" w:eastAsia="仿宋_GB2312"/>
          <w:color w:val="auto"/>
          <w:sz w:val="24"/>
        </w:rPr>
      </w:pPr>
      <w:r>
        <w:rPr>
          <w:rFonts w:hint="eastAsia" w:ascii="仿宋_GB2312" w:hAnsi="宋体" w:eastAsia="仿宋_GB2312"/>
          <w:color w:val="auto"/>
          <w:sz w:val="24"/>
        </w:rPr>
        <w:t>4.卖方应指派专业工程师进行配合,参与现场调试,试验送电等工作及其它买方认为与合同有关的其它专业性工作。</w:t>
      </w:r>
    </w:p>
    <w:p>
      <w:pPr>
        <w:snapToGrid w:val="0"/>
        <w:spacing w:before="190" w:beforeLines="50" w:after="190" w:afterLines="50"/>
        <w:ind w:firstLine="424" w:firstLineChars="177"/>
        <w:jc w:val="left"/>
        <w:textAlignment w:val="baseline"/>
        <w:rPr>
          <w:rFonts w:hint="eastAsia" w:ascii="仿宋_GB2312" w:eastAsia="仿宋_GB2312"/>
          <w:color w:val="auto"/>
          <w:sz w:val="24"/>
        </w:rPr>
      </w:pPr>
      <w:r>
        <w:rPr>
          <w:rFonts w:hint="eastAsia" w:ascii="仿宋_GB2312" w:eastAsia="仿宋_GB2312"/>
          <w:color w:val="auto"/>
          <w:sz w:val="24"/>
        </w:rPr>
        <w:t>5.卖方的所有设备都要有12个月的保用期，保用期该设备验收合格的签字日开始计算。更换的新设备，从更换之日起保用12个月。</w:t>
      </w:r>
    </w:p>
    <w:p>
      <w:pPr>
        <w:snapToGrid w:val="0"/>
        <w:spacing w:before="190" w:beforeLines="50" w:after="190" w:afterLines="50"/>
        <w:ind w:firstLine="424" w:firstLineChars="177"/>
        <w:jc w:val="left"/>
        <w:textAlignment w:val="baseline"/>
        <w:rPr>
          <w:rFonts w:hint="eastAsia" w:ascii="仿宋_GB2312" w:eastAsia="仿宋_GB2312"/>
          <w:color w:val="auto"/>
          <w:sz w:val="24"/>
        </w:rPr>
      </w:pPr>
      <w:r>
        <w:rPr>
          <w:rFonts w:hint="eastAsia" w:ascii="仿宋_GB2312" w:eastAsia="仿宋_GB2312"/>
          <w:color w:val="auto"/>
          <w:sz w:val="24"/>
        </w:rPr>
        <w:t>6.卖方提供设备制造建设时期内及验收合格后2年的备品备件。但不包括人为及违反规程的错误操作导致的损坏。</w:t>
      </w:r>
    </w:p>
    <w:p>
      <w:pPr>
        <w:snapToGrid w:val="0"/>
        <w:spacing w:before="190" w:beforeLines="50" w:after="190" w:afterLines="50"/>
        <w:ind w:firstLine="424" w:firstLineChars="177"/>
        <w:rPr>
          <w:rFonts w:hint="eastAsia" w:ascii="仿宋_GB2312" w:hAnsi="宋体" w:eastAsia="仿宋_GB2312"/>
          <w:color w:val="auto"/>
          <w:sz w:val="24"/>
        </w:rPr>
      </w:pPr>
      <w:r>
        <w:rPr>
          <w:rFonts w:hint="eastAsia" w:ascii="仿宋_GB2312" w:hAnsi="宋体" w:eastAsia="仿宋_GB2312"/>
          <w:color w:val="auto"/>
          <w:sz w:val="24"/>
        </w:rPr>
        <w:t>7.卖方应提出验收方案,在买方确认其提供的验收方案和程序后,竣工验收将按此方案与程序进行。</w:t>
      </w:r>
    </w:p>
    <w:p>
      <w:pPr>
        <w:snapToGrid w:val="0"/>
        <w:spacing w:before="190" w:beforeLines="50" w:after="190" w:afterLines="50"/>
        <w:ind w:firstLine="424" w:firstLineChars="177"/>
        <w:rPr>
          <w:rFonts w:hint="eastAsia" w:ascii="仿宋_GB2312" w:hAnsi="宋体" w:eastAsia="仿宋_GB2312"/>
          <w:color w:val="auto"/>
          <w:sz w:val="24"/>
        </w:rPr>
      </w:pPr>
      <w:r>
        <w:rPr>
          <w:rFonts w:hint="eastAsia" w:ascii="仿宋_GB2312" w:hAnsi="宋体" w:eastAsia="仿宋_GB2312"/>
          <w:color w:val="auto"/>
          <w:sz w:val="24"/>
        </w:rPr>
        <w:t>8.卖方应提供买方人员的操作、保养的技能培训,该培训应使操作人员达到要求为止。</w:t>
      </w:r>
    </w:p>
    <w:p>
      <w:pPr>
        <w:tabs>
          <w:tab w:val="left" w:pos="360"/>
        </w:tabs>
        <w:rPr>
          <w:color w:val="auto"/>
          <w:sz w:val="28"/>
        </w:rPr>
        <w:sectPr>
          <w:pgSz w:w="11906" w:h="16838"/>
          <w:pgMar w:top="1134" w:right="1531" w:bottom="1134" w:left="1587" w:header="851" w:footer="992" w:gutter="0"/>
          <w:cols w:space="0" w:num="1"/>
          <w:rtlGutter w:val="0"/>
          <w:docGrid w:type="lines" w:linePitch="313" w:charSpace="0"/>
        </w:sectPr>
      </w:pPr>
      <w:r>
        <w:rPr>
          <w:rFonts w:hint="eastAsia" w:ascii="仿宋_GB2312" w:hAnsi="宋体" w:eastAsia="仿宋_GB2312"/>
          <w:color w:val="auto"/>
          <w:sz w:val="24"/>
        </w:rPr>
        <w:t>9.卖方应提供维修保养服务,在维修保养计划中投标人应说明维修保养的实施计划和在极端状况下的处理措施和响应时间。</w:t>
      </w:r>
    </w:p>
    <w:p>
      <w:pPr>
        <w:tabs>
          <w:tab w:val="left" w:pos="360"/>
        </w:tabs>
        <w:rPr>
          <w:color w:val="auto"/>
          <w:sz w:val="28"/>
        </w:rPr>
      </w:pPr>
      <w:r>
        <w:rPr>
          <w:rFonts w:hint="eastAsia"/>
          <w:color w:val="auto"/>
          <w:sz w:val="28"/>
        </w:rPr>
        <w:t>附件二</w:t>
      </w:r>
    </w:p>
    <w:p>
      <w:pPr>
        <w:spacing w:line="360" w:lineRule="auto"/>
        <w:jc w:val="center"/>
        <w:rPr>
          <w:rFonts w:ascii="宋体" w:hAnsi="宋体"/>
          <w:b/>
          <w:bCs/>
          <w:color w:val="auto"/>
          <w:sz w:val="44"/>
          <w:szCs w:val="44"/>
        </w:rPr>
      </w:pPr>
      <w:r>
        <w:rPr>
          <w:rFonts w:hint="eastAsia" w:ascii="宋体" w:hAnsi="宋体"/>
          <w:b/>
          <w:bCs/>
          <w:color w:val="auto"/>
          <w:sz w:val="44"/>
          <w:szCs w:val="44"/>
        </w:rPr>
        <w:t>投 标 函</w:t>
      </w:r>
    </w:p>
    <w:p>
      <w:pPr>
        <w:spacing w:line="560" w:lineRule="exact"/>
        <w:rPr>
          <w:rFonts w:ascii="宋体" w:hAnsi="宋体"/>
          <w:color w:val="auto"/>
          <w:sz w:val="28"/>
          <w:szCs w:val="28"/>
        </w:rPr>
      </w:pPr>
      <w:r>
        <w:rPr>
          <w:rFonts w:hint="eastAsia" w:ascii="宋体" w:hAnsi="宋体"/>
          <w:color w:val="auto"/>
          <w:sz w:val="28"/>
          <w:szCs w:val="28"/>
        </w:rPr>
        <w:t>致南京河西会议展览有限公司：</w:t>
      </w:r>
    </w:p>
    <w:p>
      <w:pPr>
        <w:spacing w:line="560" w:lineRule="exact"/>
        <w:ind w:firstLine="560" w:firstLineChars="200"/>
        <w:jc w:val="left"/>
        <w:rPr>
          <w:rFonts w:ascii="宋体" w:hAnsi="宋体"/>
          <w:color w:val="auto"/>
          <w:sz w:val="28"/>
          <w:szCs w:val="28"/>
        </w:rPr>
      </w:pPr>
      <w:r>
        <w:rPr>
          <w:rFonts w:hint="eastAsia" w:ascii="宋体" w:hAnsi="宋体"/>
          <w:color w:val="auto"/>
          <w:sz w:val="28"/>
          <w:szCs w:val="28"/>
        </w:rPr>
        <w:t xml:space="preserve"> 我方已详细审查全部招标文件，完全同意该文件的各项要求并认同其合法性，为此,</w:t>
      </w:r>
      <w:r>
        <w:rPr>
          <w:rFonts w:hint="eastAsia" w:ascii="宋体" w:hAnsi="宋体"/>
          <w:color w:val="auto"/>
          <w:sz w:val="28"/>
          <w:szCs w:val="28"/>
          <w:u w:val="single"/>
        </w:rPr>
        <w:t xml:space="preserve">                           (公司名称)</w:t>
      </w:r>
      <w:r>
        <w:rPr>
          <w:rFonts w:hint="eastAsia" w:ascii="宋体" w:hAnsi="宋体"/>
          <w:color w:val="auto"/>
          <w:sz w:val="28"/>
          <w:szCs w:val="28"/>
        </w:rPr>
        <w:t>授权</w:t>
      </w:r>
      <w:r>
        <w:rPr>
          <w:rFonts w:hint="eastAsia" w:ascii="宋体" w:hAnsi="宋体"/>
          <w:color w:val="auto"/>
          <w:sz w:val="28"/>
          <w:szCs w:val="28"/>
          <w:u w:val="single"/>
        </w:rPr>
        <w:t xml:space="preserve">       </w:t>
      </w:r>
      <w:r>
        <w:rPr>
          <w:rFonts w:hint="eastAsia" w:ascii="宋体" w:hAnsi="宋体"/>
          <w:color w:val="auto"/>
          <w:sz w:val="28"/>
          <w:szCs w:val="28"/>
        </w:rPr>
        <w:t>（全名、职务）为委托代理人，参加贵方组织的</w:t>
      </w:r>
      <w:r>
        <w:rPr>
          <w:rFonts w:hint="eastAsia" w:ascii="宋体" w:hAnsi="宋体"/>
          <w:b/>
          <w:bCs/>
          <w:color w:val="auto"/>
          <w:sz w:val="32"/>
          <w:szCs w:val="32"/>
          <w:u w:val="single"/>
          <w:lang w:val="en-US" w:eastAsia="zh-CN"/>
        </w:rPr>
        <w:t>南京国际博览会议中心变电所改造维修</w:t>
      </w:r>
      <w:r>
        <w:rPr>
          <w:rFonts w:hint="eastAsia" w:ascii="宋体" w:hAnsi="宋体"/>
          <w:color w:val="auto"/>
          <w:sz w:val="28"/>
          <w:szCs w:val="28"/>
        </w:rPr>
        <w:t>招标的有关活动，全权处理招标活动中的一切事宜。为此提供：</w:t>
      </w:r>
    </w:p>
    <w:p>
      <w:pPr>
        <w:spacing w:line="560" w:lineRule="exact"/>
        <w:ind w:firstLine="560" w:firstLineChars="200"/>
        <w:jc w:val="left"/>
        <w:rPr>
          <w:rFonts w:ascii="宋体" w:hAnsi="宋体"/>
          <w:color w:val="auto"/>
          <w:sz w:val="28"/>
          <w:szCs w:val="28"/>
        </w:rPr>
      </w:pPr>
      <w:r>
        <w:rPr>
          <w:rFonts w:hint="eastAsia" w:ascii="宋体" w:hAnsi="宋体"/>
          <w:color w:val="auto"/>
          <w:sz w:val="28"/>
          <w:szCs w:val="28"/>
        </w:rPr>
        <w:t>1、投标须知规定的全部投标文件。</w:t>
      </w:r>
    </w:p>
    <w:p>
      <w:pPr>
        <w:spacing w:line="560" w:lineRule="exact"/>
        <w:ind w:firstLine="560" w:firstLineChars="200"/>
        <w:jc w:val="left"/>
        <w:rPr>
          <w:rFonts w:ascii="宋体" w:hAnsi="宋体"/>
          <w:color w:val="auto"/>
          <w:sz w:val="28"/>
          <w:szCs w:val="28"/>
        </w:rPr>
      </w:pPr>
      <w:r>
        <w:rPr>
          <w:rFonts w:hint="eastAsia" w:ascii="宋体" w:hAnsi="宋体"/>
          <w:color w:val="auto"/>
          <w:sz w:val="28"/>
          <w:szCs w:val="28"/>
        </w:rPr>
        <w:t>2、我们已详细审阅全部招标文件，完全理解并同意招标文件涉及的各项要求与权利。</w:t>
      </w:r>
    </w:p>
    <w:p>
      <w:pPr>
        <w:spacing w:line="560" w:lineRule="exact"/>
        <w:ind w:firstLine="560" w:firstLineChars="200"/>
        <w:jc w:val="left"/>
        <w:rPr>
          <w:rFonts w:ascii="宋体" w:hAnsi="宋体"/>
          <w:color w:val="auto"/>
          <w:sz w:val="28"/>
          <w:szCs w:val="28"/>
        </w:rPr>
      </w:pPr>
      <w:r>
        <w:rPr>
          <w:rFonts w:hint="eastAsia" w:ascii="宋体" w:hAnsi="宋体"/>
          <w:color w:val="auto"/>
          <w:sz w:val="28"/>
          <w:szCs w:val="28"/>
        </w:rPr>
        <w:t>3、经研究上述招标文件及其他有关文件后，我方愿以人民币</w:t>
      </w:r>
      <w:r>
        <w:rPr>
          <w:rFonts w:hint="eastAsia" w:ascii="宋体" w:hAnsi="宋体"/>
          <w:color w:val="auto"/>
          <w:sz w:val="28"/>
          <w:szCs w:val="28"/>
          <w:u w:val="single"/>
        </w:rPr>
        <w:t xml:space="preserve"> （大写） </w:t>
      </w:r>
      <w:r>
        <w:rPr>
          <w:rFonts w:hint="eastAsia" w:ascii="宋体" w:hAnsi="宋体"/>
          <w:color w:val="auto"/>
          <w:sz w:val="28"/>
          <w:szCs w:val="28"/>
        </w:rPr>
        <w:t>元</w:t>
      </w:r>
      <w:r>
        <w:rPr>
          <w:rFonts w:hint="eastAsia" w:ascii="宋体" w:hAnsi="宋体"/>
          <w:color w:val="auto"/>
          <w:sz w:val="28"/>
          <w:szCs w:val="28"/>
          <w:u w:val="single"/>
        </w:rPr>
        <w:t xml:space="preserve"> 　（小写） </w:t>
      </w:r>
      <w:r>
        <w:rPr>
          <w:rFonts w:hint="eastAsia" w:ascii="宋体" w:hAnsi="宋体"/>
          <w:color w:val="auto"/>
          <w:sz w:val="28"/>
          <w:szCs w:val="28"/>
        </w:rPr>
        <w:t>元的投标报价承包该维保项目。</w:t>
      </w:r>
    </w:p>
    <w:p>
      <w:pPr>
        <w:spacing w:line="560" w:lineRule="exact"/>
        <w:ind w:firstLine="560" w:firstLineChars="200"/>
        <w:jc w:val="left"/>
        <w:rPr>
          <w:rFonts w:ascii="宋体" w:hAnsi="宋体"/>
          <w:color w:val="auto"/>
          <w:sz w:val="28"/>
          <w:szCs w:val="28"/>
        </w:rPr>
      </w:pPr>
      <w:r>
        <w:rPr>
          <w:rFonts w:hint="eastAsia" w:ascii="宋体" w:hAnsi="宋体"/>
          <w:color w:val="auto"/>
          <w:sz w:val="28"/>
          <w:szCs w:val="28"/>
        </w:rPr>
        <w:t>4、保证遵守招标文件中的有关规定和收费标准。</w:t>
      </w:r>
    </w:p>
    <w:p>
      <w:pPr>
        <w:spacing w:line="560" w:lineRule="exact"/>
        <w:ind w:firstLine="560" w:firstLineChars="200"/>
        <w:jc w:val="left"/>
        <w:rPr>
          <w:rFonts w:ascii="宋体" w:hAnsi="宋体"/>
          <w:color w:val="auto"/>
          <w:sz w:val="28"/>
          <w:szCs w:val="28"/>
        </w:rPr>
      </w:pPr>
      <w:r>
        <w:rPr>
          <w:rFonts w:hint="eastAsia" w:ascii="宋体" w:hAnsi="宋体"/>
          <w:color w:val="auto"/>
          <w:sz w:val="28"/>
          <w:szCs w:val="28"/>
        </w:rPr>
        <w:t>5、保证忠实地执行招投标双方所签订的合同，并承担合同规定的责任义务。</w:t>
      </w:r>
    </w:p>
    <w:p>
      <w:pPr>
        <w:spacing w:line="560" w:lineRule="exact"/>
        <w:ind w:firstLine="560" w:firstLineChars="200"/>
        <w:jc w:val="left"/>
        <w:rPr>
          <w:rFonts w:ascii="宋体" w:hAnsi="宋体"/>
          <w:color w:val="auto"/>
          <w:sz w:val="28"/>
          <w:szCs w:val="28"/>
        </w:rPr>
      </w:pPr>
      <w:r>
        <w:rPr>
          <w:rFonts w:hint="eastAsia" w:ascii="宋体" w:hAnsi="宋体"/>
          <w:color w:val="auto"/>
          <w:sz w:val="28"/>
          <w:szCs w:val="28"/>
        </w:rPr>
        <w:t>7、承诺按招标方的要求进行维保，保证招标方</w:t>
      </w:r>
      <w:r>
        <w:rPr>
          <w:rFonts w:hint="eastAsia" w:ascii="宋体" w:hAnsi="宋体"/>
          <w:b/>
          <w:bCs/>
          <w:color w:val="auto"/>
          <w:sz w:val="32"/>
          <w:szCs w:val="32"/>
          <w:u w:val="single"/>
          <w:lang w:val="en-US" w:eastAsia="zh-CN"/>
        </w:rPr>
        <w:t>南京国际博览会议中心变电所改造维修</w:t>
      </w:r>
      <w:r>
        <w:rPr>
          <w:rFonts w:hint="eastAsia" w:ascii="宋体" w:hAnsi="宋体"/>
          <w:color w:val="auto"/>
          <w:sz w:val="28"/>
          <w:szCs w:val="28"/>
        </w:rPr>
        <w:t>工程正常使用。</w:t>
      </w:r>
    </w:p>
    <w:p>
      <w:pPr>
        <w:spacing w:line="560" w:lineRule="exact"/>
        <w:ind w:firstLine="560" w:firstLineChars="200"/>
        <w:jc w:val="left"/>
        <w:rPr>
          <w:rFonts w:ascii="宋体" w:hAnsi="宋体"/>
          <w:color w:val="auto"/>
          <w:sz w:val="28"/>
          <w:szCs w:val="28"/>
        </w:rPr>
      </w:pPr>
      <w:r>
        <w:rPr>
          <w:rFonts w:hint="eastAsia" w:ascii="宋体" w:hAnsi="宋体"/>
          <w:color w:val="auto"/>
          <w:sz w:val="28"/>
          <w:szCs w:val="28"/>
        </w:rPr>
        <w:t>8、本投标自开标之日起</w:t>
      </w:r>
      <w:r>
        <w:rPr>
          <w:rFonts w:hint="eastAsia" w:ascii="宋体" w:hAnsi="宋体"/>
          <w:color w:val="auto"/>
          <w:sz w:val="28"/>
          <w:szCs w:val="28"/>
          <w:u w:val="single"/>
        </w:rPr>
        <w:t xml:space="preserve">       </w:t>
      </w:r>
      <w:r>
        <w:rPr>
          <w:rFonts w:hint="eastAsia" w:ascii="宋体" w:hAnsi="宋体"/>
          <w:color w:val="auto"/>
          <w:sz w:val="28"/>
          <w:szCs w:val="28"/>
        </w:rPr>
        <w:t>天内有效。</w:t>
      </w:r>
    </w:p>
    <w:p>
      <w:pPr>
        <w:spacing w:line="560" w:lineRule="exact"/>
        <w:ind w:firstLine="560" w:firstLineChars="200"/>
        <w:jc w:val="left"/>
        <w:rPr>
          <w:rFonts w:ascii="宋体" w:hAnsi="宋体"/>
          <w:color w:val="auto"/>
          <w:sz w:val="28"/>
          <w:szCs w:val="28"/>
        </w:rPr>
      </w:pPr>
      <w:r>
        <w:rPr>
          <w:rFonts w:hint="eastAsia" w:ascii="宋体" w:hAnsi="宋体"/>
          <w:color w:val="auto"/>
          <w:sz w:val="28"/>
          <w:szCs w:val="28"/>
        </w:rPr>
        <w:t>9、我方将与本投标函一起，提交</w:t>
      </w:r>
      <w:r>
        <w:rPr>
          <w:rFonts w:hint="eastAsia" w:ascii="宋体" w:hAnsi="宋体"/>
          <w:color w:val="auto"/>
          <w:sz w:val="28"/>
          <w:szCs w:val="28"/>
          <w:u w:val="single"/>
        </w:rPr>
        <w:t>　（币种，金额，单位）　</w:t>
      </w:r>
      <w:r>
        <w:rPr>
          <w:rFonts w:hint="eastAsia" w:ascii="宋体" w:hAnsi="宋体"/>
          <w:color w:val="auto"/>
          <w:sz w:val="28"/>
          <w:szCs w:val="28"/>
        </w:rPr>
        <w:t>作为投标保证金。</w:t>
      </w:r>
    </w:p>
    <w:p>
      <w:pPr>
        <w:spacing w:line="560" w:lineRule="exact"/>
        <w:ind w:firstLine="4480" w:firstLineChars="1600"/>
        <w:rPr>
          <w:rFonts w:ascii="宋体" w:hAnsi="宋体"/>
          <w:color w:val="auto"/>
          <w:sz w:val="28"/>
          <w:szCs w:val="28"/>
        </w:rPr>
      </w:pPr>
      <w:r>
        <w:rPr>
          <w:rFonts w:hint="eastAsia" w:ascii="宋体" w:hAnsi="宋体"/>
          <w:color w:val="auto"/>
          <w:sz w:val="28"/>
          <w:szCs w:val="28"/>
        </w:rPr>
        <w:t>投标人（盖章）：</w:t>
      </w:r>
    </w:p>
    <w:p>
      <w:pPr>
        <w:spacing w:line="560" w:lineRule="exact"/>
        <w:ind w:firstLine="4480" w:firstLineChars="1600"/>
        <w:rPr>
          <w:rFonts w:ascii="宋体" w:hAnsi="宋体"/>
          <w:color w:val="auto"/>
          <w:sz w:val="28"/>
          <w:szCs w:val="28"/>
        </w:rPr>
      </w:pPr>
    </w:p>
    <w:p>
      <w:pPr>
        <w:spacing w:line="560" w:lineRule="exact"/>
        <w:ind w:firstLine="4480" w:firstLineChars="1600"/>
        <w:rPr>
          <w:rFonts w:ascii="宋体" w:hAnsi="宋体"/>
          <w:color w:val="auto"/>
          <w:sz w:val="28"/>
          <w:szCs w:val="28"/>
        </w:rPr>
      </w:pPr>
    </w:p>
    <w:p>
      <w:pPr>
        <w:spacing w:line="560" w:lineRule="exact"/>
        <w:ind w:firstLine="4480" w:firstLineChars="1600"/>
        <w:rPr>
          <w:rFonts w:ascii="宋体" w:hAnsi="宋体"/>
          <w:color w:val="auto"/>
          <w:sz w:val="28"/>
          <w:szCs w:val="28"/>
        </w:rPr>
      </w:pPr>
    </w:p>
    <w:p>
      <w:pPr>
        <w:spacing w:line="560" w:lineRule="exact"/>
        <w:ind w:firstLine="4480" w:firstLineChars="1600"/>
        <w:rPr>
          <w:rFonts w:ascii="宋体" w:hAnsi="宋体"/>
          <w:color w:val="auto"/>
          <w:sz w:val="28"/>
          <w:szCs w:val="28"/>
        </w:rPr>
      </w:pPr>
    </w:p>
    <w:p>
      <w:pPr>
        <w:rPr>
          <w:rFonts w:ascii="仿宋" w:hAnsi="仿宋" w:eastAsia="仿宋" w:cs="仿宋"/>
          <w:color w:val="auto"/>
          <w:szCs w:val="21"/>
          <w:shd w:val="clear" w:color="auto" w:fill="FFFFFF"/>
        </w:rPr>
      </w:pPr>
    </w:p>
    <w:p>
      <w:pPr>
        <w:rPr>
          <w:color w:val="auto"/>
          <w:sz w:val="28"/>
        </w:rPr>
      </w:pPr>
      <w:r>
        <w:rPr>
          <w:rFonts w:hint="eastAsia"/>
          <w:color w:val="auto"/>
          <w:sz w:val="28"/>
        </w:rPr>
        <w:t>附件三：</w:t>
      </w:r>
    </w:p>
    <w:p>
      <w:pPr>
        <w:ind w:firstLine="3054" w:firstLineChars="845"/>
        <w:rPr>
          <w:rFonts w:ascii="黑体" w:eastAsia="黑体"/>
          <w:b/>
          <w:bCs/>
          <w:color w:val="auto"/>
          <w:sz w:val="36"/>
        </w:rPr>
      </w:pPr>
      <w:r>
        <w:rPr>
          <w:rFonts w:hint="eastAsia" w:ascii="黑体" w:eastAsia="黑体"/>
          <w:b/>
          <w:bCs/>
          <w:color w:val="auto"/>
          <w:sz w:val="36"/>
        </w:rPr>
        <w:t>法人代表授权书</w:t>
      </w:r>
    </w:p>
    <w:p>
      <w:pPr>
        <w:spacing w:line="720" w:lineRule="auto"/>
        <w:rPr>
          <w:rFonts w:ascii="黑体" w:eastAsia="黑体"/>
          <w:b/>
          <w:bCs/>
          <w:color w:val="auto"/>
          <w:sz w:val="28"/>
          <w:szCs w:val="28"/>
        </w:rPr>
      </w:pPr>
      <w:r>
        <w:rPr>
          <w:rFonts w:hint="eastAsia" w:ascii="黑体" w:eastAsia="黑体"/>
          <w:b/>
          <w:bCs/>
          <w:color w:val="auto"/>
          <w:sz w:val="28"/>
          <w:szCs w:val="28"/>
        </w:rPr>
        <w:t>南京河西会议展览有限责任公司：</w:t>
      </w:r>
    </w:p>
    <w:p>
      <w:pPr>
        <w:ind w:left="139" w:leftChars="66" w:firstLine="560" w:firstLineChars="200"/>
        <w:rPr>
          <w:color w:val="auto"/>
          <w:sz w:val="28"/>
          <w:szCs w:val="28"/>
        </w:rPr>
      </w:pPr>
      <w:r>
        <w:rPr>
          <w:rFonts w:hint="eastAsia" w:ascii="宋体" w:hAnsi="宋体"/>
          <w:color w:val="auto"/>
          <w:sz w:val="28"/>
        </w:rPr>
        <w:t>本人</w:t>
      </w:r>
      <w:r>
        <w:rPr>
          <w:rFonts w:hint="eastAsia"/>
          <w:color w:val="auto"/>
          <w:sz w:val="28"/>
        </w:rPr>
        <w:t xml:space="preserve">         系（投</w:t>
      </w:r>
      <w:r>
        <w:rPr>
          <w:rFonts w:hint="eastAsia"/>
          <w:color w:val="auto"/>
          <w:sz w:val="28"/>
          <w:szCs w:val="28"/>
        </w:rPr>
        <w:t>标单位）</w:t>
      </w:r>
      <w:r>
        <w:rPr>
          <w:rFonts w:hint="eastAsia"/>
          <w:color w:val="auto"/>
          <w:sz w:val="28"/>
          <w:szCs w:val="28"/>
          <w:u w:val="single"/>
        </w:rPr>
        <w:t xml:space="preserve">                           </w:t>
      </w:r>
      <w:r>
        <w:rPr>
          <w:rFonts w:hint="eastAsia"/>
          <w:color w:val="auto"/>
          <w:sz w:val="28"/>
          <w:szCs w:val="28"/>
        </w:rPr>
        <w:t>的法人代表，特授权</w:t>
      </w:r>
      <w:r>
        <w:rPr>
          <w:rFonts w:hint="eastAsia"/>
          <w:color w:val="auto"/>
          <w:sz w:val="28"/>
          <w:szCs w:val="28"/>
          <w:u w:val="single"/>
        </w:rPr>
        <w:t xml:space="preserve">                 </w:t>
      </w:r>
      <w:r>
        <w:rPr>
          <w:rFonts w:hint="eastAsia"/>
          <w:color w:val="auto"/>
          <w:sz w:val="28"/>
          <w:szCs w:val="28"/>
        </w:rPr>
        <w:t>代表我和我公司全权参加有关贵</w:t>
      </w:r>
      <w:r>
        <w:rPr>
          <w:rFonts w:hint="eastAsia" w:ascii="宋体" w:hAnsi="宋体"/>
          <w:bCs/>
          <w:color w:val="auto"/>
          <w:sz w:val="28"/>
          <w:szCs w:val="28"/>
        </w:rPr>
        <w:t>公司</w:t>
      </w:r>
      <w:r>
        <w:rPr>
          <w:rFonts w:hint="eastAsia" w:ascii="宋体" w:hAnsi="宋体"/>
          <w:snapToGrid w:val="0"/>
          <w:color w:val="auto"/>
          <w:sz w:val="28"/>
          <w:szCs w:val="28"/>
        </w:rPr>
        <w:t>的</w:t>
      </w:r>
      <w:r>
        <w:rPr>
          <w:rFonts w:hint="eastAsia"/>
          <w:color w:val="auto"/>
          <w:sz w:val="28"/>
          <w:szCs w:val="28"/>
        </w:rPr>
        <w:t>招标全过程，直至合同、协议的签订和执行中的一切事务，均由他（们）代表本单位处理和决定。特此声明！</w:t>
      </w:r>
    </w:p>
    <w:p>
      <w:pPr>
        <w:spacing w:line="360" w:lineRule="auto"/>
        <w:rPr>
          <w:bCs/>
          <w:color w:val="auto"/>
          <w:sz w:val="28"/>
          <w:szCs w:val="28"/>
          <w:lang w:val="en-GB"/>
        </w:rPr>
      </w:pPr>
      <w:r>
        <w:rPr>
          <w:rFonts w:hint="eastAsia"/>
          <w:bCs/>
          <w:color w:val="auto"/>
          <w:sz w:val="28"/>
          <w:szCs w:val="28"/>
          <w:lang w:val="en-GB"/>
        </w:rPr>
        <w:t>法人代表： （签名）                  职　务：</w:t>
      </w:r>
    </w:p>
    <w:p>
      <w:pPr>
        <w:spacing w:line="360" w:lineRule="auto"/>
        <w:rPr>
          <w:bCs/>
          <w:color w:val="auto"/>
          <w:sz w:val="28"/>
          <w:lang w:val="en-GB"/>
        </w:rPr>
      </w:pPr>
      <w:r>
        <w:rPr>
          <w:rFonts w:hint="eastAsia"/>
          <w:bCs/>
          <w:color w:val="auto"/>
          <w:sz w:val="28"/>
          <w:lang w:val="en-GB"/>
        </w:rPr>
        <w:t xml:space="preserve">授权代表： （签名）                  职　务： </w:t>
      </w:r>
    </w:p>
    <w:p>
      <w:pPr>
        <w:spacing w:line="360" w:lineRule="auto"/>
        <w:rPr>
          <w:bCs/>
          <w:color w:val="auto"/>
          <w:sz w:val="28"/>
          <w:lang w:val="en-GB"/>
        </w:rPr>
      </w:pPr>
      <w:r>
        <w:rPr>
          <w:rFonts w:hint="eastAsia"/>
          <w:bCs/>
          <w:color w:val="auto"/>
          <w:sz w:val="28"/>
          <w:lang w:val="en-GB"/>
        </w:rPr>
        <w:t>电　话：</w:t>
      </w:r>
    </w:p>
    <w:p>
      <w:pPr>
        <w:spacing w:line="360" w:lineRule="auto"/>
        <w:rPr>
          <w:bCs/>
          <w:color w:val="auto"/>
          <w:sz w:val="28"/>
          <w:lang w:val="en-GB"/>
        </w:rPr>
      </w:pPr>
      <w:r>
        <w:rPr>
          <w:rFonts w:hint="eastAsia"/>
          <w:bCs/>
          <w:color w:val="auto"/>
          <w:sz w:val="28"/>
          <w:lang w:val="en-GB"/>
        </w:rPr>
        <w:t>手　机：</w:t>
      </w:r>
    </w:p>
    <w:p>
      <w:pPr>
        <w:spacing w:line="360" w:lineRule="auto"/>
        <w:rPr>
          <w:bCs/>
          <w:color w:val="auto"/>
          <w:sz w:val="28"/>
          <w:lang w:val="en-GB"/>
        </w:rPr>
      </w:pPr>
      <w:r>
        <w:rPr>
          <w:rFonts w:hint="eastAsia"/>
          <w:color w:val="auto"/>
          <w:sz w:val="28"/>
          <w:lang w:val="en-GB"/>
        </w:rPr>
        <w:t>传　真：</w:t>
      </w:r>
    </w:p>
    <w:p>
      <w:pPr>
        <w:spacing w:line="360" w:lineRule="auto"/>
        <w:rPr>
          <w:bCs/>
          <w:color w:val="auto"/>
          <w:sz w:val="28"/>
          <w:lang w:val="en-GB"/>
        </w:rPr>
      </w:pPr>
      <w:r>
        <w:rPr>
          <w:rFonts w:hint="eastAsia"/>
          <w:bCs/>
          <w:color w:val="auto"/>
          <w:sz w:val="28"/>
          <w:lang w:val="en-GB"/>
        </w:rPr>
        <w:t>日　期：</w:t>
      </w:r>
    </w:p>
    <w:p>
      <w:pPr>
        <w:spacing w:line="360" w:lineRule="auto"/>
        <w:rPr>
          <w:bCs/>
          <w:color w:val="auto"/>
          <w:sz w:val="28"/>
          <w:lang w:val="en-GB"/>
        </w:rPr>
      </w:pPr>
      <w:r>
        <w:rPr>
          <w:rFonts w:hint="eastAsia"/>
          <w:bCs/>
          <w:color w:val="auto"/>
          <w:sz w:val="28"/>
          <w:lang w:val="en-GB"/>
        </w:rPr>
        <w:t>地　址：</w:t>
      </w:r>
    </w:p>
    <w:p>
      <w:pPr>
        <w:spacing w:line="360" w:lineRule="auto"/>
        <w:rPr>
          <w:bCs/>
          <w:color w:val="auto"/>
          <w:sz w:val="28"/>
          <w:lang w:val="en-GB"/>
        </w:rPr>
      </w:pPr>
      <w:r>
        <w:rPr>
          <w:rFonts w:hint="eastAsia"/>
          <w:bCs/>
          <w:color w:val="auto"/>
          <w:sz w:val="28"/>
          <w:lang w:val="en-GB"/>
        </w:rPr>
        <w:t>邮　编：</w:t>
      </w:r>
    </w:p>
    <w:p>
      <w:pPr>
        <w:spacing w:line="360" w:lineRule="auto"/>
        <w:jc w:val="center"/>
        <w:rPr>
          <w:b/>
          <w:bCs/>
          <w:color w:val="auto"/>
          <w:sz w:val="28"/>
          <w:lang w:val="en-GB"/>
        </w:rPr>
      </w:pPr>
      <w:r>
        <w:rPr>
          <w:rFonts w:hint="eastAsia"/>
          <w:b/>
          <w:bCs/>
          <w:color w:val="auto"/>
          <w:sz w:val="28"/>
        </w:rPr>
        <w:t xml:space="preserve">                           应标</w:t>
      </w:r>
      <w:r>
        <w:rPr>
          <w:rFonts w:hint="eastAsia"/>
          <w:b/>
          <w:bCs/>
          <w:color w:val="auto"/>
          <w:sz w:val="28"/>
          <w:lang w:val="en-GB"/>
        </w:rPr>
        <w:t>单位： （盖章）</w:t>
      </w:r>
    </w:p>
    <w:p>
      <w:pPr>
        <w:ind w:firstLine="1362" w:firstLineChars="646"/>
        <w:rPr>
          <w:b/>
          <w:color w:val="auto"/>
          <w:sz w:val="24"/>
        </w:rPr>
      </w:pPr>
      <w:r>
        <w:rPr>
          <w:rFonts w:hint="eastAsia"/>
          <w:b/>
          <w:color w:val="auto"/>
        </w:rPr>
        <w:t xml:space="preserve">                                             </w:t>
      </w:r>
      <w:r>
        <w:rPr>
          <w:rFonts w:hint="eastAsia" w:ascii="宋体" w:hAnsi="宋体"/>
          <w:b/>
          <w:color w:val="auto"/>
          <w:sz w:val="28"/>
        </w:rPr>
        <w:t xml:space="preserve">年    月 </w:t>
      </w:r>
    </w:p>
    <w:p>
      <w:pPr>
        <w:ind w:firstLine="1556" w:firstLineChars="646"/>
        <w:rPr>
          <w:b/>
          <w:color w:val="auto"/>
          <w:sz w:val="24"/>
        </w:rPr>
      </w:pPr>
    </w:p>
    <w:p>
      <w:pPr>
        <w:ind w:firstLine="1556" w:firstLineChars="646"/>
        <w:rPr>
          <w:b/>
          <w:color w:val="auto"/>
          <w:sz w:val="24"/>
        </w:rPr>
      </w:pPr>
    </w:p>
    <w:p>
      <w:pPr>
        <w:ind w:firstLine="1556" w:firstLineChars="646"/>
        <w:rPr>
          <w:b/>
          <w:color w:val="auto"/>
          <w:sz w:val="24"/>
        </w:rPr>
      </w:pPr>
    </w:p>
    <w:p>
      <w:pPr>
        <w:ind w:firstLine="1556" w:firstLineChars="646"/>
        <w:rPr>
          <w:b/>
          <w:color w:val="auto"/>
          <w:sz w:val="24"/>
        </w:rPr>
      </w:pPr>
    </w:p>
    <w:p>
      <w:pPr>
        <w:ind w:firstLine="1556" w:firstLineChars="646"/>
        <w:rPr>
          <w:b/>
          <w:color w:val="auto"/>
          <w:sz w:val="24"/>
        </w:rPr>
      </w:pPr>
    </w:p>
    <w:p>
      <w:pPr>
        <w:ind w:firstLine="1556" w:firstLineChars="646"/>
        <w:rPr>
          <w:b/>
          <w:color w:val="auto"/>
          <w:sz w:val="24"/>
        </w:rPr>
      </w:pPr>
    </w:p>
    <w:p>
      <w:pPr>
        <w:autoSpaceDE w:val="0"/>
        <w:autoSpaceDN w:val="0"/>
        <w:adjustRightInd w:val="0"/>
        <w:spacing w:line="239" w:lineRule="exact"/>
        <w:jc w:val="left"/>
        <w:rPr>
          <w:color w:val="auto"/>
          <w:kern w:val="0"/>
          <w:sz w:val="24"/>
        </w:rPr>
      </w:pPr>
    </w:p>
    <w:p>
      <w:pPr>
        <w:autoSpaceDE w:val="0"/>
        <w:autoSpaceDN w:val="0"/>
        <w:adjustRightInd w:val="0"/>
        <w:spacing w:line="239" w:lineRule="exact"/>
        <w:jc w:val="left"/>
        <w:rPr>
          <w:color w:val="auto"/>
          <w:kern w:val="0"/>
          <w:sz w:val="24"/>
        </w:rPr>
      </w:pPr>
    </w:p>
    <w:p>
      <w:pPr>
        <w:autoSpaceDE w:val="0"/>
        <w:autoSpaceDN w:val="0"/>
        <w:adjustRightInd w:val="0"/>
        <w:spacing w:line="239" w:lineRule="exact"/>
        <w:jc w:val="left"/>
        <w:rPr>
          <w:color w:val="auto"/>
          <w:kern w:val="0"/>
          <w:sz w:val="24"/>
        </w:rPr>
      </w:pPr>
    </w:p>
    <w:sectPr>
      <w:pgSz w:w="11906" w:h="16838"/>
      <w:pgMar w:top="1134" w:right="1531" w:bottom="1134" w:left="1587" w:header="851"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auto"/>
    <w:pitch w:val="default"/>
    <w:sig w:usb0="E0002AFF" w:usb1="C0007843" w:usb2="00000009" w:usb3="00000000" w:csb0="400001FF" w:csb1="FFFF0000"/>
  </w:font>
  <w:font w:name="黑体">
    <w:panose1 w:val="02010600030101010101"/>
    <w:charset w:val="50"/>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50"/>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MS PGothic">
    <w:altName w:val="Meiryo UI"/>
    <w:panose1 w:val="020B0600070205080204"/>
    <w:charset w:val="80"/>
    <w:family w:val="swiss"/>
    <w:pitch w:val="default"/>
    <w:sig w:usb0="00000000" w:usb1="00000000" w:usb2="08000012" w:usb3="00000000" w:csb0="0002009F" w:csb1="00000000"/>
  </w:font>
  <w:font w:name="Meiryo UI">
    <w:panose1 w:val="020B0604030504040204"/>
    <w:charset w:val="80"/>
    <w:family w:val="auto"/>
    <w:pitch w:val="default"/>
    <w:sig w:usb0="E10102FF" w:usb1="EAC7FFFF" w:usb2="00010012" w:usb3="00000000" w:csb0="6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F0463"/>
    <w:multiLevelType w:val="singleLevel"/>
    <w:tmpl w:val="580F0463"/>
    <w:lvl w:ilvl="0" w:tentative="0">
      <w:start w:val="8"/>
      <w:numFmt w:val="chineseCounting"/>
      <w:suff w:val="nothing"/>
      <w:lvlText w:val="%1、"/>
      <w:lvlJc w:val="left"/>
    </w:lvl>
  </w:abstractNum>
  <w:abstractNum w:abstractNumId="1">
    <w:nsid w:val="59955B5E"/>
    <w:multiLevelType w:val="singleLevel"/>
    <w:tmpl w:val="59955B5E"/>
    <w:lvl w:ilvl="0" w:tentative="0">
      <w:start w:val="1"/>
      <w:numFmt w:val="decimal"/>
      <w:suff w:val="nothing"/>
      <w:lvlText w:val="%1."/>
      <w:lvlJc w:val="left"/>
    </w:lvl>
  </w:abstractNum>
  <w:abstractNum w:abstractNumId="2">
    <w:nsid w:val="599E7742"/>
    <w:multiLevelType w:val="singleLevel"/>
    <w:tmpl w:val="599E7742"/>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316BA"/>
    <w:rsid w:val="00172A27"/>
    <w:rsid w:val="001A2C93"/>
    <w:rsid w:val="001B2677"/>
    <w:rsid w:val="0026419F"/>
    <w:rsid w:val="0027592D"/>
    <w:rsid w:val="003456D4"/>
    <w:rsid w:val="003F2351"/>
    <w:rsid w:val="00544BB6"/>
    <w:rsid w:val="00581240"/>
    <w:rsid w:val="00983FCE"/>
    <w:rsid w:val="00A256EE"/>
    <w:rsid w:val="00B1782F"/>
    <w:rsid w:val="00C17768"/>
    <w:rsid w:val="00CC2D39"/>
    <w:rsid w:val="00CF2E9C"/>
    <w:rsid w:val="00D01F4D"/>
    <w:rsid w:val="00DC5AF6"/>
    <w:rsid w:val="00FA069F"/>
    <w:rsid w:val="0206299A"/>
    <w:rsid w:val="061B7E49"/>
    <w:rsid w:val="07127E60"/>
    <w:rsid w:val="088D000F"/>
    <w:rsid w:val="09730381"/>
    <w:rsid w:val="09E618DC"/>
    <w:rsid w:val="0AEB45A5"/>
    <w:rsid w:val="0E0E4A6B"/>
    <w:rsid w:val="10801745"/>
    <w:rsid w:val="11737EB8"/>
    <w:rsid w:val="12185516"/>
    <w:rsid w:val="147229CA"/>
    <w:rsid w:val="14D271FD"/>
    <w:rsid w:val="1CC52B02"/>
    <w:rsid w:val="1E2F6800"/>
    <w:rsid w:val="21C31BDF"/>
    <w:rsid w:val="222E107F"/>
    <w:rsid w:val="225E344E"/>
    <w:rsid w:val="23454CF6"/>
    <w:rsid w:val="266D5F17"/>
    <w:rsid w:val="26AA5D2A"/>
    <w:rsid w:val="2A2014F9"/>
    <w:rsid w:val="2B230614"/>
    <w:rsid w:val="2E864C96"/>
    <w:rsid w:val="2EBC643A"/>
    <w:rsid w:val="33E03133"/>
    <w:rsid w:val="362F0164"/>
    <w:rsid w:val="3B5C70EF"/>
    <w:rsid w:val="3BFC3E69"/>
    <w:rsid w:val="3D12415E"/>
    <w:rsid w:val="3E0A3951"/>
    <w:rsid w:val="3E384E2F"/>
    <w:rsid w:val="40467DB6"/>
    <w:rsid w:val="41587BEC"/>
    <w:rsid w:val="432C38E2"/>
    <w:rsid w:val="433B3BA3"/>
    <w:rsid w:val="457C0FB7"/>
    <w:rsid w:val="45DF67A1"/>
    <w:rsid w:val="47366FED"/>
    <w:rsid w:val="478922C2"/>
    <w:rsid w:val="4CC6004A"/>
    <w:rsid w:val="4D061CA2"/>
    <w:rsid w:val="52D94AA2"/>
    <w:rsid w:val="552E124A"/>
    <w:rsid w:val="585A2570"/>
    <w:rsid w:val="58B815B7"/>
    <w:rsid w:val="5C7677F2"/>
    <w:rsid w:val="5E127D2B"/>
    <w:rsid w:val="5EC81586"/>
    <w:rsid w:val="602A14E5"/>
    <w:rsid w:val="60392D6D"/>
    <w:rsid w:val="630E2438"/>
    <w:rsid w:val="649148A3"/>
    <w:rsid w:val="66473DBB"/>
    <w:rsid w:val="677A5E37"/>
    <w:rsid w:val="67DE738C"/>
    <w:rsid w:val="6C582D2C"/>
    <w:rsid w:val="72A45D3E"/>
    <w:rsid w:val="74695B7E"/>
    <w:rsid w:val="77E32ACE"/>
    <w:rsid w:val="7857690A"/>
    <w:rsid w:val="7920541C"/>
    <w:rsid w:val="79D951FB"/>
    <w:rsid w:val="7A4D1451"/>
    <w:rsid w:val="7C0679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styleId="7">
    <w:name w:val="page number"/>
    <w:basedOn w:val="6"/>
    <w:qFormat/>
    <w:uiPriority w:val="0"/>
  </w:style>
  <w:style w:type="character" w:customStyle="1" w:styleId="9">
    <w:name w:val="font51"/>
    <w:basedOn w:val="6"/>
    <w:qFormat/>
    <w:uiPriority w:val="0"/>
    <w:rPr>
      <w:rFonts w:hint="eastAsia" w:ascii="宋体" w:hAnsi="宋体" w:eastAsia="宋体" w:cs="宋体"/>
      <w:color w:val="000000"/>
      <w:sz w:val="24"/>
      <w:szCs w:val="24"/>
      <w:u w:val="none"/>
    </w:rPr>
  </w:style>
  <w:style w:type="character" w:customStyle="1" w:styleId="10">
    <w:name w:val="font41"/>
    <w:basedOn w:val="6"/>
    <w:qFormat/>
    <w:uiPriority w:val="0"/>
    <w:rPr>
      <w:rFonts w:hint="eastAsia" w:ascii="黑体" w:hAnsi="宋体" w:eastAsia="黑体" w:cs="黑体"/>
      <w:b/>
      <w:color w:val="000000"/>
      <w:sz w:val="24"/>
      <w:szCs w:val="24"/>
      <w:u w:val="none"/>
    </w:rPr>
  </w:style>
  <w:style w:type="character" w:customStyle="1" w:styleId="11">
    <w:name w:val="页眉字符"/>
    <w:basedOn w:val="6"/>
    <w:link w:val="4"/>
    <w:qFormat/>
    <w:uiPriority w:val="0"/>
    <w:rPr>
      <w:kern w:val="2"/>
      <w:sz w:val="18"/>
      <w:szCs w:val="18"/>
    </w:rPr>
  </w:style>
  <w:style w:type="character" w:customStyle="1" w:styleId="12">
    <w:name w:val="font01"/>
    <w:basedOn w:val="6"/>
    <w:qFormat/>
    <w:uiPriority w:val="0"/>
    <w:rPr>
      <w:rFonts w:hint="eastAsia" w:ascii="宋体" w:hAnsi="宋体" w:eastAsia="宋体" w:cs="宋体"/>
      <w:b/>
      <w:color w:val="000000"/>
      <w:sz w:val="24"/>
      <w:szCs w:val="24"/>
      <w:u w:val="none"/>
    </w:rPr>
  </w:style>
  <w:style w:type="character" w:customStyle="1" w:styleId="13">
    <w:name w:val="页脚字符"/>
    <w:basedOn w:val="6"/>
    <w:link w:val="3"/>
    <w:qFormat/>
    <w:uiPriority w:val="0"/>
    <w:rPr>
      <w:kern w:val="2"/>
      <w:sz w:val="18"/>
      <w:szCs w:val="18"/>
    </w:rPr>
  </w:style>
  <w:style w:type="character" w:customStyle="1" w:styleId="14">
    <w:name w:val="font31"/>
    <w:basedOn w:val="6"/>
    <w:qFormat/>
    <w:uiPriority w:val="0"/>
    <w:rPr>
      <w:rFonts w:hint="eastAsia" w:ascii="黑体" w:hAnsi="宋体" w:eastAsia="黑体" w:cs="黑体"/>
      <w:color w:val="000000"/>
      <w:sz w:val="24"/>
      <w:szCs w:val="24"/>
      <w:u w:val="none"/>
    </w:rPr>
  </w:style>
  <w:style w:type="character" w:customStyle="1" w:styleId="15">
    <w:name w:val="font21"/>
    <w:basedOn w:val="6"/>
    <w:qFormat/>
    <w:uiPriority w:val="0"/>
    <w:rPr>
      <w:rFonts w:hint="eastAsia" w:ascii="黑体" w:hAnsi="宋体" w:eastAsia="黑体" w:cs="黑体"/>
      <w:color w:val="000000"/>
      <w:sz w:val="24"/>
      <w:szCs w:val="24"/>
      <w:u w:val="none"/>
    </w:rPr>
  </w:style>
  <w:style w:type="paragraph" w:customStyle="1" w:styleId="16">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468</Words>
  <Characters>2670</Characters>
  <Lines>22</Lines>
  <Paragraphs>6</Paragraphs>
  <ScaleCrop>false</ScaleCrop>
  <LinksUpToDate>false</LinksUpToDate>
  <CharactersWithSpaces>3132</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2014-08-13T02:07:00Z</dcterms:created>
  <dc:creator>微软用户</dc:creator>
  <cp:lastModifiedBy>Administrator</cp:lastModifiedBy>
  <cp:lastPrinted>2017-09-04T06:22:00Z</cp:lastPrinted>
  <dcterms:modified xsi:type="dcterms:W3CDTF">2017-09-04T08:35:18Z</dcterms:modified>
  <dc:title>南京国际博览中心亚青会、青奥会场馆改造工程电动遮阳窗系统采购与安装招标公告</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