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N0.2011G14青奥城地块项目青奥中心国际青年会议酒店所需电话机采购及其相关服务招标公告</w:t>
      </w:r>
    </w:p>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3038</w:t>
      </w:r>
      <w:bookmarkStart w:id="7" w:name="_GoBack"/>
      <w:bookmarkEnd w:id="7"/>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N0.2011G14青奥城地块项目青奥中心国际青年会议酒店所需电话机采购及其相关服务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需电话机采购及其相关服务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1项目名称：N0.2011G14青奥城地块项目青奥中心国际青年会议酒店所需电话机采购及其相关服务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3.3投标人提供2013年1月1日（以合同签订时间为准）至今签订的高星级酒店电话机合同金额人民币20万元或等值外币以上合同。（原件备查）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r>
        <w:rPr>
          <w:rFonts w:hint="eastAsia" w:ascii="宋体" w:hAnsi="宋体"/>
          <w:szCs w:val="21"/>
          <w:lang w:eastAsia="zh-CN"/>
        </w:rPr>
        <w:t>及复印件</w:t>
      </w:r>
      <w:r>
        <w:rPr>
          <w:rFonts w:hint="eastAsia" w:ascii="宋体" w:hAnsi="宋体"/>
          <w:szCs w:val="21"/>
        </w:rPr>
        <w:t>。</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 w:val="20"/>
          <w:szCs w:val="21"/>
          <w:u w:val="single"/>
          <w:lang w:eastAsia="zh-CN"/>
        </w:rPr>
        <w:t>蒋辛宇</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07327"/>
    <w:rsid w:val="3D920E2B"/>
    <w:rsid w:val="47B67399"/>
    <w:rsid w:val="599F4209"/>
    <w:rsid w:val="66A601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2016-12-07T07:29:15Z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