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8007" w:type="dxa"/>
        <w:jc w:val="center"/>
        <w:tblCellSpacing w:w="7" w:type="dxa"/>
        <w:tblInd w:w="0" w:type="dxa"/>
        <w:shd w:val="clear" w:color="auto" w:fill="FFFFFF"/>
        <w:tblLayout w:type="fixed"/>
        <w:tblCellMar>
          <w:top w:w="0" w:type="dxa"/>
          <w:left w:w="0" w:type="dxa"/>
          <w:bottom w:w="0" w:type="dxa"/>
          <w:right w:w="0" w:type="dxa"/>
        </w:tblCellMar>
      </w:tblPr>
      <w:tblGrid>
        <w:gridCol w:w="8007"/>
      </w:tblGrid>
      <w:tr>
        <w:tblPrEx>
          <w:shd w:val="clear" w:color="auto" w:fill="FFFFFF"/>
          <w:tblLayout w:type="fixed"/>
          <w:tblCellMar>
            <w:top w:w="0" w:type="dxa"/>
            <w:left w:w="0" w:type="dxa"/>
            <w:bottom w:w="0" w:type="dxa"/>
            <w:right w:w="0" w:type="dxa"/>
          </w:tblCellMar>
        </w:tblPrEx>
        <w:trPr>
          <w:tblCellSpacing w:w="7" w:type="dxa"/>
          <w:jc w:val="center"/>
        </w:trPr>
        <w:tc>
          <w:tcPr>
            <w:tcW w:w="7979" w:type="dxa"/>
            <w:shd w:val="clear" w:color="auto" w:fill="FFFFFF"/>
            <w:vAlign w:val="center"/>
          </w:tcPr>
          <w:p>
            <w:pPr>
              <w:widowControl/>
              <w:spacing w:line="360" w:lineRule="auto"/>
              <w:jc w:val="center"/>
              <w:rPr>
                <w:rFonts w:ascii="宋体" w:hAnsi="宋体" w:eastAsia="宋体" w:cs="宋体"/>
                <w:b/>
                <w:color w:val="3D3D3D"/>
                <w:kern w:val="0"/>
                <w:sz w:val="28"/>
                <w:szCs w:val="28"/>
              </w:rPr>
            </w:pPr>
          </w:p>
        </w:tc>
      </w:tr>
      <w:tr>
        <w:tblPrEx>
          <w:tblLayout w:type="fixed"/>
          <w:tblCellMar>
            <w:top w:w="0" w:type="dxa"/>
            <w:left w:w="0" w:type="dxa"/>
            <w:bottom w:w="0" w:type="dxa"/>
            <w:right w:w="0" w:type="dxa"/>
          </w:tblCellMar>
        </w:tblPrEx>
        <w:trPr>
          <w:tblCellSpacing w:w="7" w:type="dxa"/>
          <w:jc w:val="center"/>
        </w:trPr>
        <w:tc>
          <w:tcPr>
            <w:tcW w:w="7979" w:type="dxa"/>
            <w:shd w:val="clear" w:color="auto" w:fill="FFFFFF"/>
            <w:vAlign w:val="center"/>
          </w:tcPr>
          <w:p>
            <w:pPr>
              <w:widowControl/>
              <w:spacing w:line="360" w:lineRule="auto"/>
              <w:jc w:val="center"/>
              <w:rPr>
                <w:rFonts w:ascii="宋体" w:hAnsi="宋体" w:eastAsia="宋体" w:cs="宋体"/>
                <w:b/>
                <w:bCs/>
                <w:color w:val="3D3D3D"/>
                <w:kern w:val="0"/>
                <w:sz w:val="28"/>
                <w:szCs w:val="28"/>
              </w:rPr>
            </w:pPr>
            <w:r>
              <w:rPr>
                <w:rFonts w:hint="eastAsia" w:ascii="宋体" w:hAnsi="宋体" w:eastAsia="宋体" w:cs="宋体"/>
                <w:b/>
                <w:bCs/>
                <w:color w:val="3D3D3D"/>
                <w:kern w:val="0"/>
                <w:sz w:val="28"/>
                <w:szCs w:val="28"/>
              </w:rPr>
              <w:t>河西南部地区淮河路（龙王大街）南延道路项目设计招标公告</w:t>
            </w:r>
          </w:p>
        </w:tc>
      </w:tr>
    </w:tbl>
    <w:p>
      <w:pPr>
        <w:pStyle w:val="8"/>
        <w:shd w:val="clear" w:color="auto" w:fill="FFFFFF"/>
        <w:spacing w:before="0" w:beforeAutospacing="0" w:after="0" w:afterAutospacing="0" w:line="360" w:lineRule="auto"/>
        <w:jc w:val="center"/>
        <w:rPr>
          <w:color w:val="202020"/>
        </w:rPr>
      </w:pPr>
      <w:r>
        <w:rPr>
          <w:rFonts w:hint="eastAsia"/>
          <w:color w:val="202020"/>
        </w:rPr>
        <w:t>招标编号：</w:t>
      </w:r>
    </w:p>
    <w:p>
      <w:pPr>
        <w:pStyle w:val="8"/>
        <w:shd w:val="clear" w:color="auto" w:fill="FFFFFF"/>
        <w:adjustRightInd w:val="0"/>
        <w:snapToGrid w:val="0"/>
        <w:spacing w:before="0" w:beforeAutospacing="0" w:after="0" w:afterAutospacing="0" w:line="360" w:lineRule="auto"/>
        <w:ind w:left="361" w:leftChars="172" w:firstLine="361" w:firstLineChars="150"/>
        <w:rPr>
          <w:color w:val="3D3D3D"/>
        </w:rPr>
      </w:pPr>
      <w:r>
        <w:rPr>
          <w:rFonts w:hint="eastAsia"/>
          <w:b/>
          <w:color w:val="202020"/>
          <w:u w:val="single"/>
        </w:rPr>
        <w:t>南京河西工程项目管理有限公司（</w:t>
      </w:r>
      <w:r>
        <w:rPr>
          <w:rFonts w:hint="eastAsia"/>
          <w:color w:val="202020"/>
        </w:rPr>
        <w:t>招标人</w:t>
      </w:r>
      <w:r>
        <w:rPr>
          <w:rFonts w:hint="eastAsia"/>
          <w:b/>
          <w:color w:val="202020"/>
        </w:rPr>
        <w:t>）</w:t>
      </w:r>
      <w:r>
        <w:rPr>
          <w:rFonts w:hint="eastAsia"/>
          <w:color w:val="202020"/>
        </w:rPr>
        <w:t>建设项目</w:t>
      </w:r>
      <w:r>
        <w:rPr>
          <w:rFonts w:hint="eastAsia"/>
          <w:b/>
          <w:color w:val="202020"/>
          <w:u w:val="single"/>
        </w:rPr>
        <w:t>河西南部地区淮河路（龙王大街）南延道路项目设计</w:t>
      </w:r>
      <w:r>
        <w:rPr>
          <w:rFonts w:hint="eastAsia"/>
          <w:color w:val="202020"/>
        </w:rPr>
        <w:t>所需资金来源是</w:t>
      </w:r>
      <w:r>
        <w:rPr>
          <w:rFonts w:hint="eastAsia"/>
          <w:b/>
          <w:u w:val="single"/>
        </w:rPr>
        <w:t xml:space="preserve"> 国有政府资金</w:t>
      </w:r>
      <w:r>
        <w:rPr>
          <w:rFonts w:hint="eastAsia"/>
          <w:color w:val="202020"/>
        </w:rPr>
        <w:t>，现已落实</w:t>
      </w:r>
      <w:r>
        <w:t>（立项批文号：</w:t>
      </w:r>
      <w:r>
        <w:rPr>
          <w:rFonts w:hint="eastAsia"/>
          <w:color w:val="000000"/>
          <w:u w:val="single"/>
        </w:rPr>
        <w:t>宁新城委综字[2016]224号文</w:t>
      </w:r>
      <w:r>
        <w:t>）</w:t>
      </w:r>
      <w:r>
        <w:rPr>
          <w:rFonts w:hint="eastAsia"/>
          <w:color w:val="202020"/>
        </w:rPr>
        <w:t>。本工程采用</w:t>
      </w:r>
      <w:r>
        <w:rPr>
          <w:rFonts w:hint="eastAsia"/>
          <w:b/>
          <w:color w:val="202020"/>
          <w:u w:val="single"/>
        </w:rPr>
        <w:t>资格后审</w:t>
      </w:r>
      <w:r>
        <w:rPr>
          <w:rFonts w:hint="eastAsia"/>
          <w:color w:val="202020"/>
        </w:rPr>
        <w:t>方法选择合格的投标申请人参加投标。</w:t>
      </w:r>
      <w:r>
        <w:rPr>
          <w:rFonts w:hint="eastAsia"/>
          <w:b/>
          <w:u w:val="single"/>
        </w:rPr>
        <w:t>中泰百聪工程管理有限公司 (招标代理)</w:t>
      </w:r>
      <w:r>
        <w:rPr>
          <w:rFonts w:hint="eastAsia"/>
          <w:color w:val="202020"/>
        </w:rPr>
        <w:t>负责本工程的招标事宜。 </w:t>
      </w:r>
    </w:p>
    <w:p>
      <w:pPr>
        <w:pStyle w:val="8"/>
        <w:shd w:val="clear" w:color="auto" w:fill="FFFFFF"/>
        <w:adjustRightInd w:val="0"/>
        <w:snapToGrid w:val="0"/>
        <w:spacing w:before="0" w:beforeAutospacing="0" w:after="0" w:afterAutospacing="0" w:line="360" w:lineRule="auto"/>
        <w:rPr>
          <w:b/>
          <w:color w:val="3D3D3D"/>
        </w:rPr>
      </w:pPr>
      <w:r>
        <w:rPr>
          <w:rFonts w:hint="eastAsia"/>
          <w:b/>
          <w:color w:val="202020"/>
        </w:rPr>
        <w:t>一、本招标工程概况： </w:t>
      </w:r>
    </w:p>
    <w:p>
      <w:pPr>
        <w:pStyle w:val="8"/>
        <w:shd w:val="clear" w:color="auto" w:fill="FFFFFF"/>
        <w:adjustRightInd w:val="0"/>
        <w:snapToGrid w:val="0"/>
        <w:spacing w:before="0" w:beforeAutospacing="0" w:after="0" w:afterAutospacing="0" w:line="360" w:lineRule="auto"/>
        <w:rPr>
          <w:b/>
          <w:color w:val="202020"/>
          <w:u w:val="single"/>
        </w:rPr>
      </w:pPr>
      <w:r>
        <w:rPr>
          <w:rFonts w:hint="eastAsia"/>
          <w:color w:val="202020"/>
        </w:rPr>
        <w:t>1.工程项目名称：</w:t>
      </w:r>
      <w:r>
        <w:rPr>
          <w:rFonts w:hint="eastAsia"/>
          <w:b/>
          <w:color w:val="202020"/>
          <w:u w:val="single"/>
        </w:rPr>
        <w:t>河西南部地区淮河路（龙王大街）南延道路项目设计</w:t>
      </w:r>
    </w:p>
    <w:p>
      <w:pPr>
        <w:pStyle w:val="8"/>
        <w:shd w:val="clear" w:color="auto" w:fill="FFFFFF"/>
        <w:adjustRightInd w:val="0"/>
        <w:snapToGrid w:val="0"/>
        <w:spacing w:before="0" w:beforeAutospacing="0" w:after="0" w:afterAutospacing="0" w:line="360" w:lineRule="auto"/>
        <w:rPr>
          <w:color w:val="3D3D3D"/>
        </w:rPr>
      </w:pPr>
      <w:r>
        <w:rPr>
          <w:rFonts w:hint="eastAsia"/>
          <w:color w:val="202020"/>
        </w:rPr>
        <w:t>2.工程地点</w:t>
      </w:r>
      <w:r>
        <w:rPr>
          <w:rFonts w:hint="eastAsia"/>
          <w:b/>
          <w:color w:val="202020"/>
        </w:rPr>
        <w:t>：</w:t>
      </w:r>
      <w:r>
        <w:rPr>
          <w:rFonts w:hint="eastAsia" w:ascii="宋体" w:hAnsi="宋体"/>
          <w:b/>
          <w:color w:val="202020"/>
          <w:sz w:val="24"/>
          <w:szCs w:val="24"/>
          <w:u w:val="single"/>
        </w:rPr>
        <w:t>北起高庙路，南至中兴路大桥</w:t>
      </w:r>
    </w:p>
    <w:p>
      <w:pPr>
        <w:pStyle w:val="8"/>
        <w:shd w:val="clear" w:color="auto" w:fill="FFFFFF"/>
        <w:adjustRightInd w:val="0"/>
        <w:snapToGrid w:val="0"/>
        <w:spacing w:before="0" w:beforeAutospacing="0" w:after="0" w:afterAutospacing="0" w:line="360" w:lineRule="auto"/>
        <w:rPr>
          <w:b/>
          <w:u w:val="single"/>
        </w:rPr>
      </w:pPr>
      <w:r>
        <w:rPr>
          <w:rFonts w:hint="eastAsia"/>
        </w:rPr>
        <w:t>3.招标内容：</w:t>
      </w:r>
    </w:p>
    <w:p>
      <w:pPr>
        <w:pStyle w:val="8"/>
        <w:shd w:val="clear" w:color="auto" w:fill="FFFFFF"/>
        <w:adjustRightInd w:val="0"/>
        <w:snapToGrid w:val="0"/>
        <w:spacing w:before="0" w:beforeAutospacing="0" w:after="0" w:afterAutospacing="0" w:line="360" w:lineRule="auto"/>
        <w:ind w:firstLine="470" w:firstLineChars="196"/>
      </w:pPr>
      <w:r>
        <w:rPr>
          <w:rFonts w:hint="eastAsia" w:ascii="宋体" w:hAnsi="宋体" w:eastAsia="宋体" w:cs="宋体"/>
          <w:szCs w:val="24"/>
        </w:rPr>
        <w:t>综合管线的规划研究报告，工程可行性研究，道路、桥涵、绿化等初步设计和施工图设计</w:t>
      </w:r>
      <w:r>
        <w:rPr>
          <w:rFonts w:hint="eastAsia"/>
        </w:rPr>
        <w:t>。</w:t>
      </w:r>
    </w:p>
    <w:p>
      <w:pPr>
        <w:pStyle w:val="8"/>
        <w:shd w:val="clear" w:color="auto" w:fill="FFFFFF"/>
        <w:adjustRightInd w:val="0"/>
        <w:snapToGrid w:val="0"/>
        <w:spacing w:before="0" w:beforeAutospacing="0" w:after="0" w:afterAutospacing="0" w:line="360" w:lineRule="auto"/>
        <w:ind w:firstLine="0" w:firstLineChars="0"/>
        <w:rPr>
          <w:b/>
          <w:color w:val="202020"/>
        </w:rPr>
      </w:pPr>
      <w:r>
        <w:rPr>
          <w:color w:val="202020"/>
        </w:rPr>
        <w:t>4.标段划分：</w:t>
      </w:r>
      <w:r>
        <w:rPr>
          <w:rFonts w:hint="eastAsia"/>
          <w:b/>
          <w:color w:val="202020"/>
        </w:rPr>
        <w:t>一个标段 </w:t>
      </w:r>
    </w:p>
    <w:p>
      <w:pPr>
        <w:pStyle w:val="8"/>
        <w:shd w:val="clear" w:color="auto" w:fill="FFFFFF"/>
        <w:adjustRightInd w:val="0"/>
        <w:snapToGrid w:val="0"/>
        <w:spacing w:before="0" w:beforeAutospacing="0" w:after="0" w:afterAutospacing="0" w:line="360" w:lineRule="auto"/>
        <w:rPr>
          <w:color w:val="3D3D3D"/>
        </w:rPr>
      </w:pPr>
      <w:r>
        <w:rPr>
          <w:rFonts w:hint="eastAsia"/>
          <w:color w:val="202020"/>
        </w:rPr>
        <w:t>5.合同估算价：</w:t>
      </w:r>
      <w:r>
        <w:rPr>
          <w:rFonts w:hint="eastAsia"/>
          <w:color w:val="202020"/>
          <w:highlight w:val="yellow"/>
        </w:rPr>
        <w:t>约</w:t>
      </w:r>
      <w:r>
        <w:rPr>
          <w:rFonts w:hint="eastAsia"/>
          <w:color w:val="202020"/>
          <w:highlight w:val="yellow"/>
          <w:u w:val="single"/>
          <w:lang w:val="en-US" w:eastAsia="zh-CN"/>
        </w:rPr>
        <w:t>80</w:t>
      </w:r>
      <w:r>
        <w:rPr>
          <w:rFonts w:hint="eastAsia"/>
          <w:b/>
          <w:color w:val="202020"/>
          <w:highlight w:val="yellow"/>
          <w:u w:val="single"/>
        </w:rPr>
        <w:t>万元</w:t>
      </w:r>
    </w:p>
    <w:p>
      <w:pPr>
        <w:spacing w:line="52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color w:val="auto"/>
          <w:kern w:val="0"/>
          <w:sz w:val="24"/>
          <w:szCs w:val="24"/>
        </w:rPr>
        <w:t>.工程规模：</w:t>
      </w:r>
      <w:r>
        <w:rPr>
          <w:rFonts w:hint="eastAsia" w:ascii="宋体" w:hAnsi="宋体" w:eastAsia="宋体" w:cs="宋体"/>
          <w:kern w:val="0"/>
          <w:sz w:val="24"/>
          <w:szCs w:val="24"/>
        </w:rPr>
        <w:t>规划建设的河西南部龙王大街，</w:t>
      </w:r>
      <w:r>
        <w:rPr>
          <w:rFonts w:hint="eastAsia" w:ascii="宋体" w:hAnsi="宋体" w:eastAsia="宋体" w:cs="宋体"/>
          <w:color w:val="auto"/>
          <w:kern w:val="0"/>
          <w:sz w:val="24"/>
          <w:szCs w:val="24"/>
        </w:rPr>
        <w:t>北起高庙路，南至中兴路大桥</w:t>
      </w:r>
      <w:r>
        <w:rPr>
          <w:rFonts w:hint="eastAsia" w:ascii="宋体" w:hAnsi="宋体" w:eastAsia="宋体" w:cs="宋体"/>
          <w:kern w:val="0"/>
          <w:sz w:val="24"/>
          <w:szCs w:val="24"/>
        </w:rPr>
        <w:t>，规划为城市主干道，红线宽度</w:t>
      </w:r>
      <w:r>
        <w:rPr>
          <w:rFonts w:ascii="宋体" w:hAnsi="宋体" w:eastAsia="宋体" w:cs="宋体"/>
          <w:kern w:val="0"/>
          <w:sz w:val="24"/>
          <w:szCs w:val="24"/>
        </w:rPr>
        <w:t>55、64、70米，长度约567米</w:t>
      </w:r>
      <w:r>
        <w:rPr>
          <w:rFonts w:hint="eastAsia" w:ascii="宋体" w:hAnsi="宋体" w:eastAsia="宋体" w:cs="宋体"/>
          <w:kern w:val="0"/>
          <w:sz w:val="24"/>
          <w:szCs w:val="24"/>
        </w:rPr>
        <w:t>，总投资约11000万元。</w:t>
      </w:r>
    </w:p>
    <w:p>
      <w:pPr>
        <w:pStyle w:val="8"/>
        <w:shd w:val="clear" w:color="auto" w:fill="FFFFFF"/>
        <w:adjustRightInd w:val="0"/>
        <w:snapToGrid w:val="0"/>
        <w:spacing w:before="0" w:beforeAutospacing="0" w:after="0" w:afterAutospacing="0" w:line="360" w:lineRule="auto"/>
        <w:rPr>
          <w:u w:val="single"/>
        </w:rPr>
      </w:pPr>
    </w:p>
    <w:p>
      <w:pPr>
        <w:pStyle w:val="8"/>
        <w:shd w:val="clear" w:color="auto" w:fill="FFFFFF"/>
        <w:adjustRightInd w:val="0"/>
        <w:snapToGrid w:val="0"/>
        <w:spacing w:before="0" w:beforeAutospacing="0" w:after="0" w:afterAutospacing="0" w:line="360" w:lineRule="auto"/>
        <w:rPr>
          <w:b/>
          <w:color w:val="202020"/>
        </w:rPr>
      </w:pPr>
      <w:r>
        <w:rPr>
          <w:rFonts w:hint="eastAsia"/>
          <w:b/>
          <w:color w:val="202020"/>
        </w:rPr>
        <w:t>二、申请人应当具备的资格条件： </w:t>
      </w:r>
    </w:p>
    <w:p>
      <w:pPr>
        <w:pStyle w:val="8"/>
        <w:shd w:val="clear" w:color="auto" w:fill="FFFFFF"/>
        <w:adjustRightInd w:val="0"/>
        <w:snapToGrid w:val="0"/>
        <w:spacing w:before="0" w:beforeAutospacing="0" w:after="0" w:afterAutospacing="0" w:line="360" w:lineRule="auto"/>
        <w:rPr>
          <w:b/>
          <w:color w:val="FF0000"/>
          <w:u w:val="single"/>
        </w:rPr>
      </w:pPr>
      <w:r>
        <w:rPr>
          <w:rFonts w:hint="eastAsia"/>
          <w:color w:val="202020"/>
        </w:rPr>
        <w:t>1、申请人资质等级及范围：</w:t>
      </w:r>
      <w:r>
        <w:rPr>
          <w:rFonts w:hint="eastAsia"/>
        </w:rPr>
        <w:t>投标人必须具备建设主管部门核发的市政行业（道路工程）专业</w:t>
      </w:r>
      <w:r>
        <w:rPr>
          <w:rFonts w:hint="eastAsia"/>
          <w:u w:val="single"/>
        </w:rPr>
        <w:t>甲级</w:t>
      </w:r>
      <w:r>
        <w:rPr>
          <w:rFonts w:hint="eastAsia"/>
        </w:rPr>
        <w:t>及以上资质</w:t>
      </w:r>
    </w:p>
    <w:p>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2、项目负责人资质等级及类别：道路专业或相关专业高级工程师及以上资格；</w:t>
      </w:r>
    </w:p>
    <w:p>
      <w:pPr>
        <w:widowControl/>
        <w:adjustRightInd w:val="0"/>
        <w:snapToGrid w:val="0"/>
        <w:spacing w:line="360" w:lineRule="auto"/>
        <w:jc w:val="left"/>
      </w:pPr>
      <w:r>
        <w:rPr>
          <w:rFonts w:ascii="宋体" w:hAnsi="宋体" w:eastAsia="宋体"/>
          <w:sz w:val="24"/>
          <w:szCs w:val="24"/>
        </w:rPr>
        <w:t>3</w:t>
      </w:r>
      <w:r>
        <w:rPr>
          <w:rFonts w:hint="eastAsia" w:ascii="宋体" w:hAnsi="宋体" w:eastAsia="宋体"/>
          <w:sz w:val="24"/>
          <w:szCs w:val="24"/>
        </w:rPr>
        <w:t>、设计工期：签订设计合同之日起，初步设计</w:t>
      </w:r>
      <w:r>
        <w:rPr>
          <w:rFonts w:ascii="宋体" w:hAnsi="宋体" w:eastAsia="宋体"/>
          <w:sz w:val="24"/>
          <w:szCs w:val="24"/>
          <w:u w:val="single"/>
        </w:rPr>
        <w:t>20</w:t>
      </w:r>
      <w:r>
        <w:rPr>
          <w:rFonts w:hint="eastAsia" w:ascii="宋体" w:hAnsi="宋体" w:eastAsia="宋体"/>
          <w:sz w:val="24"/>
          <w:szCs w:val="24"/>
        </w:rPr>
        <w:t>日历天，施工图设计</w:t>
      </w:r>
      <w:r>
        <w:rPr>
          <w:rFonts w:ascii="宋体" w:hAnsi="宋体" w:eastAsia="宋体"/>
          <w:sz w:val="24"/>
          <w:szCs w:val="24"/>
          <w:u w:val="single"/>
        </w:rPr>
        <w:t>20</w:t>
      </w:r>
      <w:r>
        <w:rPr>
          <w:rFonts w:hint="eastAsia" w:ascii="宋体" w:hAnsi="宋体" w:eastAsia="宋体"/>
          <w:sz w:val="24"/>
          <w:szCs w:val="24"/>
        </w:rPr>
        <w:t>日历天</w:t>
      </w:r>
      <w:r>
        <w:rPr>
          <w:rFonts w:hint="eastAsia"/>
        </w:rPr>
        <w:t>；</w:t>
      </w:r>
    </w:p>
    <w:p>
      <w:pPr>
        <w:pStyle w:val="8"/>
        <w:shd w:val="clear" w:color="auto" w:fill="FFFFFF"/>
        <w:adjustRightInd w:val="0"/>
        <w:snapToGrid w:val="0"/>
        <w:spacing w:before="0" w:beforeAutospacing="0" w:after="0" w:afterAutospacing="0" w:line="360" w:lineRule="auto"/>
      </w:pPr>
      <w:r>
        <w:rPr>
          <w:rFonts w:hint="eastAsia"/>
        </w:rPr>
        <w:t>4、本工程不接受联合体投标；</w:t>
      </w:r>
    </w:p>
    <w:p>
      <w:pPr>
        <w:pStyle w:val="8"/>
        <w:shd w:val="clear" w:color="auto" w:fill="FFFFFF"/>
        <w:adjustRightInd w:val="0"/>
        <w:snapToGrid w:val="0"/>
        <w:spacing w:before="0" w:beforeAutospacing="0" w:after="0" w:afterAutospacing="0" w:line="360" w:lineRule="auto"/>
        <w:rPr>
          <w:color w:val="3D3D3D"/>
        </w:rPr>
      </w:pPr>
      <w:r>
        <w:rPr>
          <w:rFonts w:hint="eastAsia"/>
          <w:color w:val="202020"/>
        </w:rPr>
        <w:t>5、需提供的材料要求：具体详见招标文件。</w:t>
      </w:r>
    </w:p>
    <w:p>
      <w:pPr>
        <w:pStyle w:val="8"/>
        <w:shd w:val="clear" w:color="auto" w:fill="FFFFFF"/>
        <w:adjustRightInd w:val="0"/>
        <w:snapToGrid w:val="0"/>
        <w:spacing w:before="0" w:beforeAutospacing="0" w:after="0" w:afterAutospacing="0" w:line="360" w:lineRule="auto"/>
        <w:rPr>
          <w:color w:val="202020"/>
        </w:rPr>
      </w:pPr>
      <w:r>
        <w:rPr>
          <w:rFonts w:hint="eastAsia"/>
          <w:b/>
          <w:color w:val="202020"/>
        </w:rPr>
        <w:t>三、</w:t>
      </w:r>
      <w:r>
        <w:rPr>
          <w:rFonts w:hint="eastAsia"/>
          <w:color w:val="202020"/>
        </w:rPr>
        <w:t>获取招标文件方法</w:t>
      </w:r>
    </w:p>
    <w:p>
      <w:pPr>
        <w:pStyle w:val="8"/>
        <w:shd w:val="clear" w:color="auto" w:fill="FFFFFF"/>
        <w:adjustRightInd w:val="0"/>
        <w:snapToGrid w:val="0"/>
        <w:spacing w:before="0" w:beforeAutospacing="0" w:after="0" w:afterAutospacing="0" w:line="360" w:lineRule="auto"/>
        <w:rPr>
          <w:color w:val="202020"/>
        </w:rPr>
      </w:pPr>
      <w:r>
        <w:rPr>
          <w:color w:val="202020"/>
        </w:rPr>
        <w:t>1、投标申请人可持《单位介绍信》</w:t>
      </w:r>
      <w:r>
        <w:rPr>
          <w:rFonts w:hint="eastAsia"/>
          <w:color w:val="202020"/>
        </w:rPr>
        <w:t>或</w:t>
      </w:r>
      <w:r>
        <w:rPr>
          <w:color w:val="202020"/>
        </w:rPr>
        <w:t>法定代表人授权委托书原件</w:t>
      </w:r>
      <w:r>
        <w:rPr>
          <w:rFonts w:hint="eastAsia"/>
        </w:rPr>
        <w:t>及本人身份证原件</w:t>
      </w:r>
      <w:r>
        <w:rPr>
          <w:color w:val="202020"/>
        </w:rPr>
        <w:t>到指定地点购买招标文件。</w:t>
      </w:r>
    </w:p>
    <w:p>
      <w:pPr>
        <w:pStyle w:val="8"/>
        <w:shd w:val="clear" w:color="auto" w:fill="FFFFFF"/>
        <w:adjustRightInd w:val="0"/>
        <w:snapToGrid w:val="0"/>
        <w:spacing w:before="0" w:beforeAutospacing="0" w:after="0" w:afterAutospacing="0" w:line="360" w:lineRule="auto"/>
        <w:rPr>
          <w:color w:val="202020"/>
        </w:rPr>
      </w:pPr>
      <w:r>
        <w:rPr>
          <w:color w:val="202020"/>
        </w:rPr>
        <w:t>2、本公告发布之日即为指定地点领取招标文件的时间：自201</w:t>
      </w:r>
      <w:r>
        <w:rPr>
          <w:rFonts w:hint="eastAsia"/>
          <w:color w:val="202020"/>
        </w:rPr>
        <w:t>6年</w:t>
      </w:r>
      <w:r>
        <w:rPr>
          <w:rFonts w:hint="eastAsia"/>
          <w:color w:val="202020"/>
          <w:lang w:val="en-US" w:eastAsia="zh-CN"/>
        </w:rPr>
        <w:t>11</w:t>
      </w:r>
      <w:r>
        <w:rPr>
          <w:rFonts w:hint="eastAsia"/>
          <w:color w:val="202020"/>
        </w:rPr>
        <w:t>月</w:t>
      </w:r>
      <w:r>
        <w:rPr>
          <w:rFonts w:hint="eastAsia"/>
          <w:color w:val="202020"/>
          <w:lang w:val="en-US" w:eastAsia="zh-CN"/>
        </w:rPr>
        <w:t>7</w:t>
      </w:r>
      <w:r>
        <w:rPr>
          <w:rFonts w:hint="eastAsia"/>
          <w:color w:val="202020"/>
        </w:rPr>
        <w:t>日至</w:t>
      </w:r>
      <w:r>
        <w:rPr>
          <w:color w:val="202020"/>
        </w:rPr>
        <w:t>2016年</w:t>
      </w:r>
      <w:r>
        <w:rPr>
          <w:rFonts w:hint="eastAsia"/>
          <w:color w:val="202020"/>
          <w:lang w:val="en-US" w:eastAsia="zh-CN"/>
        </w:rPr>
        <w:t>11</w:t>
      </w:r>
      <w:r>
        <w:rPr>
          <w:rFonts w:hint="eastAsia"/>
          <w:color w:val="202020"/>
        </w:rPr>
        <w:t>月</w:t>
      </w:r>
      <w:r>
        <w:rPr>
          <w:rFonts w:hint="eastAsia"/>
          <w:color w:val="202020"/>
          <w:lang w:val="en-US" w:eastAsia="zh-CN"/>
        </w:rPr>
        <w:t>13</w:t>
      </w:r>
      <w:bookmarkStart w:id="0" w:name="_GoBack"/>
      <w:bookmarkEnd w:id="0"/>
      <w:r>
        <w:rPr>
          <w:rFonts w:hint="eastAsia"/>
          <w:color w:val="202020"/>
        </w:rPr>
        <w:t>日，上午9</w:t>
      </w:r>
      <w:r>
        <w:rPr>
          <w:color w:val="202020"/>
        </w:rPr>
        <w:t>:</w:t>
      </w:r>
      <w:r>
        <w:rPr>
          <w:rFonts w:hint="eastAsia"/>
          <w:color w:val="202020"/>
        </w:rPr>
        <w:t>00</w:t>
      </w:r>
      <w:r>
        <w:rPr>
          <w:color w:val="202020"/>
        </w:rPr>
        <w:t>分至11:30分，下午14:00分至1</w:t>
      </w:r>
      <w:r>
        <w:rPr>
          <w:rFonts w:hint="eastAsia"/>
          <w:color w:val="202020"/>
        </w:rPr>
        <w:t>7</w:t>
      </w:r>
      <w:r>
        <w:rPr>
          <w:color w:val="202020"/>
        </w:rPr>
        <w:t>:</w:t>
      </w:r>
      <w:r>
        <w:rPr>
          <w:rFonts w:hint="eastAsia"/>
          <w:color w:val="202020"/>
        </w:rPr>
        <w:t>0</w:t>
      </w:r>
      <w:r>
        <w:rPr>
          <w:color w:val="202020"/>
        </w:rPr>
        <w:t>0分（节假日除外），在</w:t>
      </w:r>
      <w:r>
        <w:rPr>
          <w:rFonts w:hint="eastAsia"/>
          <w:b/>
          <w:u w:val="single"/>
        </w:rPr>
        <w:t>中泰百聪工程管理有限公司 （南京市雨花台区安德门大街57号楚翘城2幢509室）</w:t>
      </w:r>
      <w:r>
        <w:rPr>
          <w:rFonts w:hint="eastAsia"/>
          <w:color w:val="202020"/>
        </w:rPr>
        <w:t>购买招标文件。</w:t>
      </w:r>
    </w:p>
    <w:p>
      <w:pPr>
        <w:pStyle w:val="8"/>
        <w:shd w:val="clear" w:color="auto" w:fill="FFFFFF"/>
        <w:adjustRightInd w:val="0"/>
        <w:snapToGrid w:val="0"/>
        <w:spacing w:before="0" w:beforeAutospacing="0" w:after="0" w:afterAutospacing="0" w:line="360" w:lineRule="auto"/>
      </w:pPr>
      <w:r>
        <w:rPr>
          <w:color w:val="202020"/>
        </w:rPr>
        <w:t>3、招标文件每份售价</w:t>
      </w:r>
      <w:r>
        <w:rPr>
          <w:rFonts w:hint="eastAsia"/>
          <w:color w:val="202020"/>
        </w:rPr>
        <w:t>8</w:t>
      </w:r>
      <w:r>
        <w:rPr>
          <w:color w:val="202020"/>
        </w:rPr>
        <w:t>00元，售后不退。</w:t>
      </w:r>
    </w:p>
    <w:p>
      <w:pPr>
        <w:pStyle w:val="8"/>
        <w:shd w:val="clear" w:color="auto" w:fill="FFFFFF"/>
        <w:adjustRightInd w:val="0"/>
        <w:snapToGrid w:val="0"/>
        <w:spacing w:before="0" w:beforeAutospacing="0" w:after="0" w:afterAutospacing="0" w:line="360" w:lineRule="auto"/>
        <w:rPr>
          <w:b/>
          <w:color w:val="202020"/>
        </w:rPr>
      </w:pPr>
      <w:r>
        <w:rPr>
          <w:rFonts w:hint="eastAsia"/>
          <w:b/>
          <w:color w:val="202020"/>
        </w:rPr>
        <w:t>四、有下列行为之一的投标人，招标人不接受其参加投标：</w:t>
      </w:r>
    </w:p>
    <w:p>
      <w:pPr>
        <w:pStyle w:val="8"/>
        <w:shd w:val="clear" w:color="auto" w:fill="FFFFFF"/>
        <w:adjustRightInd w:val="0"/>
        <w:snapToGrid w:val="0"/>
        <w:spacing w:before="0" w:beforeAutospacing="0" w:after="0" w:afterAutospacing="0" w:line="360" w:lineRule="auto"/>
        <w:rPr>
          <w:color w:val="3D3D3D"/>
        </w:rPr>
      </w:pPr>
      <w:r>
        <w:rPr>
          <w:rFonts w:hint="eastAsia"/>
          <w:color w:val="202020"/>
        </w:rPr>
        <w:t>1、有违反法律、法规行为，依法被取消投标资格且期限未满的；</w:t>
      </w:r>
    </w:p>
    <w:p>
      <w:pPr>
        <w:pStyle w:val="8"/>
        <w:shd w:val="clear" w:color="auto" w:fill="FFFFFF"/>
        <w:adjustRightInd w:val="0"/>
        <w:snapToGrid w:val="0"/>
        <w:spacing w:before="0" w:beforeAutospacing="0" w:after="0" w:afterAutospacing="0" w:line="360" w:lineRule="auto"/>
        <w:rPr>
          <w:color w:val="3D3D3D"/>
        </w:rPr>
      </w:pPr>
      <w:r>
        <w:rPr>
          <w:rFonts w:hint="eastAsia"/>
          <w:color w:val="202020"/>
        </w:rPr>
        <w:t>2、因招投标活动中有违法违规和不良行为，被有关招投标行政监督部门公示且公示期限未满的。</w:t>
      </w:r>
    </w:p>
    <w:p>
      <w:pPr>
        <w:pStyle w:val="8"/>
        <w:shd w:val="clear" w:color="auto" w:fill="FFFFFF"/>
        <w:adjustRightInd w:val="0"/>
        <w:snapToGrid w:val="0"/>
        <w:spacing w:before="0" w:beforeAutospacing="0" w:after="0" w:afterAutospacing="0" w:line="360" w:lineRule="auto"/>
        <w:rPr>
          <w:color w:val="3D3D3D"/>
        </w:rPr>
      </w:pPr>
      <w:r>
        <w:rPr>
          <w:rFonts w:hint="eastAsia"/>
          <w:color w:val="202020"/>
        </w:rPr>
        <w:t>3、法律、法规规定不得参加投标的其他条件。 </w:t>
      </w:r>
    </w:p>
    <w:p>
      <w:pPr>
        <w:pStyle w:val="8"/>
        <w:shd w:val="clear" w:color="auto" w:fill="FFFFFF"/>
        <w:adjustRightInd w:val="0"/>
        <w:snapToGrid w:val="0"/>
        <w:spacing w:before="0" w:beforeAutospacing="0" w:after="0" w:afterAutospacing="0" w:line="360" w:lineRule="auto"/>
        <w:rPr>
          <w:b/>
          <w:color w:val="202020"/>
        </w:rPr>
      </w:pPr>
      <w:r>
        <w:rPr>
          <w:rFonts w:hint="eastAsia"/>
          <w:b/>
          <w:color w:val="202020"/>
        </w:rPr>
        <w:t>五、投标资格条件：</w:t>
      </w:r>
    </w:p>
    <w:p>
      <w:pPr>
        <w:pStyle w:val="8"/>
        <w:shd w:val="clear" w:color="auto" w:fill="FFFFFF"/>
        <w:adjustRightInd w:val="0"/>
        <w:snapToGrid w:val="0"/>
        <w:spacing w:before="0" w:beforeAutospacing="0" w:after="0" w:afterAutospacing="0" w:line="360" w:lineRule="auto"/>
        <w:rPr>
          <w:color w:val="202020"/>
        </w:rPr>
      </w:pPr>
      <w:r>
        <w:rPr>
          <w:rFonts w:hint="eastAsia"/>
          <w:color w:val="202020"/>
        </w:rPr>
        <w:t>本次招标采取资格后审，开标结束后，评标开始由专家评委首先对投标人递交的资格审查材料进行评审。</w:t>
      </w:r>
    </w:p>
    <w:p>
      <w:pPr>
        <w:pStyle w:val="8"/>
        <w:shd w:val="clear" w:color="auto" w:fill="FFFFFF"/>
        <w:adjustRightInd w:val="0"/>
        <w:snapToGrid w:val="0"/>
        <w:spacing w:before="0" w:beforeAutospacing="0" w:after="0" w:afterAutospacing="0" w:line="360" w:lineRule="auto"/>
        <w:rPr>
          <w:color w:val="202020"/>
        </w:rPr>
      </w:pPr>
      <w:r>
        <w:rPr>
          <w:rFonts w:hint="eastAsia"/>
          <w:color w:val="202020"/>
        </w:rPr>
        <w:t>（一）投标人的基本要求</w:t>
      </w:r>
    </w:p>
    <w:p>
      <w:pPr>
        <w:pStyle w:val="8"/>
        <w:shd w:val="clear" w:color="auto" w:fill="FFFFFF"/>
        <w:adjustRightInd w:val="0"/>
        <w:snapToGrid w:val="0"/>
        <w:spacing w:before="0" w:beforeAutospacing="0" w:after="0" w:afterAutospacing="0" w:line="360" w:lineRule="auto"/>
        <w:ind w:firstLine="480" w:firstLineChars="200"/>
      </w:pPr>
      <w:r>
        <w:rPr>
          <w:rFonts w:hint="eastAsia"/>
          <w:color w:val="202020"/>
        </w:rPr>
        <w:t>1、申请人资质等级及范围：</w:t>
      </w:r>
      <w:r>
        <w:rPr>
          <w:rFonts w:hint="eastAsia"/>
        </w:rPr>
        <w:t>投标人必须具备建设主管部门核发的市政行业（道路工程）专业</w:t>
      </w:r>
      <w:r>
        <w:rPr>
          <w:rFonts w:hint="eastAsia"/>
          <w:u w:val="single"/>
        </w:rPr>
        <w:t>甲级</w:t>
      </w:r>
      <w:r>
        <w:rPr>
          <w:rFonts w:hint="eastAsia"/>
        </w:rPr>
        <w:t>及以上资质（提供有效期内的资质证书复印件，原件核查）</w:t>
      </w:r>
    </w:p>
    <w:p>
      <w:pPr>
        <w:widowControl/>
        <w:adjustRightInd w:val="0"/>
        <w:snapToGrid w:val="0"/>
        <w:spacing w:line="360" w:lineRule="auto"/>
        <w:ind w:firstLine="480" w:firstLineChars="200"/>
        <w:jc w:val="left"/>
        <w:rPr>
          <w:rFonts w:cs="宋体"/>
          <w:kern w:val="0"/>
          <w:sz w:val="24"/>
        </w:rPr>
      </w:pPr>
      <w:r>
        <w:rPr>
          <w:rFonts w:hint="eastAsia" w:cs="宋体"/>
          <w:kern w:val="0"/>
          <w:sz w:val="24"/>
        </w:rPr>
        <w:t>2、</w:t>
      </w:r>
      <w:r>
        <w:rPr>
          <w:rFonts w:hint="eastAsia" w:cs="宋体"/>
          <w:kern w:val="0"/>
          <w:sz w:val="24"/>
          <w:highlight w:val="none"/>
        </w:rPr>
        <w:t>项目负责人资质类别和等级：道路专业或相关专业高级工程师及以上资格（提供证书原件核查）；</w:t>
      </w:r>
    </w:p>
    <w:p>
      <w:pPr>
        <w:widowControl/>
        <w:adjustRightInd w:val="0"/>
        <w:snapToGrid w:val="0"/>
        <w:spacing w:line="360" w:lineRule="auto"/>
        <w:ind w:firstLine="480" w:firstLineChars="200"/>
        <w:jc w:val="left"/>
        <w:rPr>
          <w:rFonts w:cs="宋体"/>
          <w:kern w:val="0"/>
          <w:sz w:val="24"/>
        </w:rPr>
      </w:pPr>
      <w:r>
        <w:rPr>
          <w:rFonts w:hint="eastAsia" w:cs="宋体"/>
          <w:kern w:val="0"/>
          <w:sz w:val="24"/>
        </w:rPr>
        <w:t>3、具有独立订立合同的能力（提供有效的企业法人营业执照副本原件核查）；</w:t>
      </w:r>
    </w:p>
    <w:p>
      <w:pPr>
        <w:widowControl/>
        <w:adjustRightInd w:val="0"/>
        <w:snapToGrid w:val="0"/>
        <w:spacing w:line="360" w:lineRule="auto"/>
        <w:ind w:firstLine="480" w:firstLineChars="200"/>
        <w:jc w:val="left"/>
        <w:rPr>
          <w:rFonts w:cs="宋体"/>
          <w:kern w:val="0"/>
          <w:sz w:val="24"/>
        </w:rPr>
      </w:pPr>
      <w:r>
        <w:rPr>
          <w:rFonts w:hint="eastAsia" w:cs="宋体"/>
          <w:kern w:val="0"/>
          <w:sz w:val="24"/>
        </w:rPr>
        <w:t>4、未处于被责令停业</w:t>
      </w:r>
      <w:r>
        <w:rPr>
          <w:rFonts w:cs="宋体"/>
          <w:kern w:val="0"/>
          <w:sz w:val="24"/>
        </w:rPr>
        <w:t>.</w:t>
      </w:r>
      <w:r>
        <w:rPr>
          <w:rFonts w:hint="eastAsia" w:cs="宋体"/>
          <w:kern w:val="0"/>
          <w:sz w:val="24"/>
        </w:rPr>
        <w:t>投标资格被取消或者财产被接管</w:t>
      </w:r>
      <w:r>
        <w:rPr>
          <w:rFonts w:cs="宋体"/>
          <w:kern w:val="0"/>
          <w:sz w:val="24"/>
        </w:rPr>
        <w:t>.</w:t>
      </w:r>
      <w:r>
        <w:rPr>
          <w:rFonts w:hint="eastAsia" w:cs="宋体"/>
          <w:kern w:val="0"/>
          <w:sz w:val="24"/>
        </w:rPr>
        <w:t>冻结和破产状态（提供承诺书）；</w:t>
      </w:r>
    </w:p>
    <w:p>
      <w:pPr>
        <w:widowControl/>
        <w:adjustRightInd w:val="0"/>
        <w:snapToGrid w:val="0"/>
        <w:spacing w:line="360" w:lineRule="auto"/>
        <w:ind w:firstLine="480" w:firstLineChars="200"/>
        <w:jc w:val="left"/>
        <w:rPr>
          <w:rFonts w:cs="宋体"/>
          <w:kern w:val="0"/>
          <w:sz w:val="24"/>
        </w:rPr>
      </w:pPr>
      <w:r>
        <w:rPr>
          <w:rFonts w:hint="eastAsia" w:cs="宋体"/>
          <w:kern w:val="0"/>
          <w:sz w:val="24"/>
        </w:rPr>
        <w:t>5、企业没有因骗取中标或者严重违约以及发生重大工程质量</w:t>
      </w:r>
      <w:r>
        <w:rPr>
          <w:rFonts w:cs="宋体"/>
          <w:kern w:val="0"/>
          <w:sz w:val="24"/>
        </w:rPr>
        <w:t>.</w:t>
      </w:r>
      <w:r>
        <w:rPr>
          <w:rFonts w:hint="eastAsia" w:cs="宋体"/>
          <w:kern w:val="0"/>
          <w:sz w:val="24"/>
        </w:rPr>
        <w:t>安全生产事故等问题</w:t>
      </w:r>
      <w:r>
        <w:rPr>
          <w:rFonts w:cs="宋体"/>
          <w:kern w:val="0"/>
          <w:sz w:val="24"/>
        </w:rPr>
        <w:t>.</w:t>
      </w:r>
      <w:r>
        <w:rPr>
          <w:rFonts w:hint="eastAsia" w:cs="宋体"/>
          <w:kern w:val="0"/>
          <w:sz w:val="24"/>
        </w:rPr>
        <w:t>被有关部门暂停投标资格并在暂停期内的（提供承诺书）；</w:t>
      </w:r>
    </w:p>
    <w:p>
      <w:pPr>
        <w:widowControl/>
        <w:adjustRightInd w:val="0"/>
        <w:snapToGrid w:val="0"/>
        <w:spacing w:line="360" w:lineRule="auto"/>
        <w:ind w:firstLine="480" w:firstLineChars="200"/>
        <w:jc w:val="left"/>
        <w:rPr>
          <w:rFonts w:cs="宋体"/>
          <w:kern w:val="0"/>
          <w:sz w:val="24"/>
        </w:rPr>
      </w:pPr>
      <w:r>
        <w:rPr>
          <w:rFonts w:hint="eastAsia" w:cs="宋体"/>
          <w:kern w:val="0"/>
          <w:sz w:val="24"/>
        </w:rPr>
        <w:t>6、投标人近三年市政道路设计项目无因设计原因造成的事故发生（提供承诺书）；</w:t>
      </w:r>
    </w:p>
    <w:p>
      <w:pPr>
        <w:widowControl/>
        <w:adjustRightInd w:val="0"/>
        <w:snapToGrid w:val="0"/>
        <w:spacing w:line="360" w:lineRule="auto"/>
        <w:ind w:firstLine="480" w:firstLineChars="200"/>
        <w:jc w:val="left"/>
        <w:rPr>
          <w:rFonts w:cs="宋体"/>
          <w:kern w:val="0"/>
          <w:sz w:val="24"/>
        </w:rPr>
      </w:pPr>
      <w:r>
        <w:rPr>
          <w:rFonts w:hint="eastAsia" w:cs="宋体"/>
          <w:kern w:val="0"/>
          <w:sz w:val="24"/>
        </w:rPr>
        <w:t>7、资格审查申请书中的重要内容没有失真或者弄虚作假（提供承诺书）；</w:t>
      </w:r>
    </w:p>
    <w:p>
      <w:pPr>
        <w:widowControl/>
        <w:adjustRightInd w:val="0"/>
        <w:snapToGrid w:val="0"/>
        <w:spacing w:line="360" w:lineRule="auto"/>
        <w:ind w:firstLine="480" w:firstLineChars="200"/>
        <w:jc w:val="left"/>
        <w:rPr>
          <w:rFonts w:cs="宋体"/>
          <w:kern w:val="0"/>
          <w:sz w:val="24"/>
        </w:rPr>
      </w:pPr>
      <w:r>
        <w:rPr>
          <w:rFonts w:hint="eastAsia" w:cs="宋体"/>
          <w:kern w:val="0"/>
          <w:sz w:val="24"/>
        </w:rPr>
        <w:t>8、投标人熟知该建设项目可能涉及到的报批事项、报审流程、提交材料等；（提供承诺书）</w:t>
      </w:r>
    </w:p>
    <w:p>
      <w:pPr>
        <w:widowControl/>
        <w:adjustRightInd w:val="0"/>
        <w:snapToGrid w:val="0"/>
        <w:spacing w:line="360" w:lineRule="auto"/>
        <w:ind w:firstLine="480" w:firstLineChars="200"/>
        <w:jc w:val="left"/>
        <w:rPr>
          <w:rFonts w:cs="宋体"/>
          <w:bCs/>
          <w:kern w:val="0"/>
          <w:sz w:val="24"/>
        </w:rPr>
      </w:pPr>
      <w:r>
        <w:rPr>
          <w:rFonts w:hint="eastAsia" w:cs="宋体"/>
          <w:kern w:val="0"/>
          <w:sz w:val="24"/>
        </w:rPr>
        <w:t>9、</w:t>
      </w:r>
      <w:r>
        <w:rPr>
          <w:rFonts w:hint="eastAsia" w:cs="宋体"/>
          <w:bCs/>
          <w:kern w:val="0"/>
          <w:sz w:val="24"/>
        </w:rPr>
        <w:t>参与本次设计的设计人员应为设计单位的在册人员，项目组成员专业配置需合理。投标单位须确保项目负责人负责项目设计及施工全过程，未经业主同意不得更换。（提供承诺书原件）；</w:t>
      </w:r>
    </w:p>
    <w:p>
      <w:pPr>
        <w:widowControl/>
        <w:adjustRightInd w:val="0"/>
        <w:snapToGrid w:val="0"/>
        <w:spacing w:line="360" w:lineRule="auto"/>
        <w:ind w:firstLine="480" w:firstLineChars="200"/>
        <w:jc w:val="left"/>
      </w:pPr>
      <w:r>
        <w:rPr>
          <w:rFonts w:hint="eastAsia" w:cs="宋体"/>
          <w:kern w:val="0"/>
          <w:sz w:val="24"/>
        </w:rPr>
        <w:t>10、符合法律、法规规定的其他条件。（提供承诺书）</w:t>
      </w:r>
    </w:p>
    <w:p>
      <w:pPr>
        <w:pStyle w:val="8"/>
        <w:shd w:val="clear" w:color="auto" w:fill="FFFFFF"/>
        <w:adjustRightInd w:val="0"/>
        <w:snapToGrid w:val="0"/>
        <w:spacing w:before="0" w:beforeAutospacing="0" w:after="0" w:afterAutospacing="0" w:line="360" w:lineRule="auto"/>
        <w:rPr>
          <w:color w:val="202020"/>
        </w:rPr>
      </w:pPr>
      <w:r>
        <w:rPr>
          <w:rFonts w:hint="eastAsia"/>
          <w:color w:val="202020"/>
        </w:rPr>
        <w:t>（二）本项目不接受联合体投标，法定代表人为同一个人的两个及两个以上企业，母公司、全资子公司及其控股公司，不得同时投标。</w:t>
      </w:r>
    </w:p>
    <w:p>
      <w:pPr>
        <w:pStyle w:val="8"/>
        <w:shd w:val="clear" w:color="auto" w:fill="FFFFFF"/>
        <w:adjustRightInd w:val="0"/>
        <w:snapToGrid w:val="0"/>
        <w:spacing w:before="0" w:beforeAutospacing="0" w:after="0" w:afterAutospacing="0" w:line="360" w:lineRule="auto"/>
        <w:rPr>
          <w:b/>
          <w:color w:val="202020"/>
        </w:rPr>
      </w:pPr>
      <w:r>
        <w:rPr>
          <w:rFonts w:hint="eastAsia"/>
          <w:b/>
          <w:color w:val="202020"/>
        </w:rPr>
        <w:t>六、其他</w:t>
      </w:r>
    </w:p>
    <w:p>
      <w:pPr>
        <w:pStyle w:val="8"/>
        <w:shd w:val="clear" w:color="auto" w:fill="FFFFFF"/>
        <w:adjustRightInd w:val="0"/>
        <w:snapToGrid w:val="0"/>
        <w:spacing w:before="0" w:beforeAutospacing="0" w:after="0" w:afterAutospacing="0" w:line="360" w:lineRule="auto"/>
        <w:ind w:firstLine="480" w:firstLineChars="200"/>
        <w:rPr>
          <w:color w:val="202020"/>
        </w:rPr>
      </w:pPr>
      <w:r>
        <w:rPr>
          <w:rFonts w:hint="eastAsia"/>
          <w:color w:val="202020"/>
        </w:rPr>
        <w:t>1、投标人的单位名称必须与企业资质证书上的单位名称一致；</w:t>
      </w:r>
    </w:p>
    <w:p>
      <w:pPr>
        <w:pStyle w:val="8"/>
        <w:shd w:val="clear" w:color="auto" w:fill="FFFFFF"/>
        <w:adjustRightInd w:val="0"/>
        <w:snapToGrid w:val="0"/>
        <w:spacing w:before="0" w:beforeAutospacing="0" w:after="0" w:afterAutospacing="0" w:line="360" w:lineRule="auto"/>
        <w:ind w:firstLine="480" w:firstLineChars="200"/>
        <w:rPr>
          <w:color w:val="202020"/>
        </w:rPr>
      </w:pPr>
      <w:r>
        <w:rPr>
          <w:rFonts w:hint="eastAsia"/>
          <w:color w:val="202020"/>
        </w:rPr>
        <w:t>2、</w:t>
      </w:r>
      <w:r>
        <w:rPr>
          <w:rFonts w:hint="eastAsia"/>
        </w:rPr>
        <w:t>开标时，本工程各投标人的项目负责人须携带本人有效身份证原件，法定代表人的授权代理人须携带本人有效身份证原件及授权委托书原件在投标截止时间前到达开标现场参加开标会，并递交上述原件，若相关人员未能按时到场参加开标会议或到场但未递交上述原件的，视为投标人自动放弃投标，其标书将被退回。</w:t>
      </w:r>
    </w:p>
    <w:p>
      <w:pPr>
        <w:pStyle w:val="8"/>
        <w:shd w:val="clear" w:color="auto" w:fill="FFFFFF"/>
        <w:adjustRightInd w:val="0"/>
        <w:snapToGrid w:val="0"/>
        <w:spacing w:before="0" w:beforeAutospacing="0" w:after="0" w:afterAutospacing="0" w:line="360" w:lineRule="auto"/>
        <w:ind w:firstLine="480" w:firstLineChars="200"/>
        <w:rPr>
          <w:color w:val="202020"/>
        </w:rPr>
      </w:pPr>
      <w:r>
        <w:rPr>
          <w:rFonts w:hint="eastAsia"/>
          <w:color w:val="202020"/>
        </w:rPr>
        <w:t>3、其他详见招标文件。</w:t>
      </w:r>
    </w:p>
    <w:p>
      <w:pPr>
        <w:pStyle w:val="8"/>
        <w:shd w:val="clear" w:color="auto" w:fill="FFFFFF"/>
        <w:adjustRightInd w:val="0"/>
        <w:snapToGrid w:val="0"/>
        <w:spacing w:before="0" w:beforeAutospacing="0" w:after="0" w:afterAutospacing="0" w:line="360" w:lineRule="auto"/>
        <w:rPr>
          <w:b/>
          <w:color w:val="202020"/>
        </w:rPr>
      </w:pPr>
      <w:r>
        <w:rPr>
          <w:rFonts w:hint="eastAsia"/>
          <w:b/>
          <w:color w:val="202020"/>
        </w:rPr>
        <w:t>七、评分办法：</w:t>
      </w:r>
    </w:p>
    <w:p>
      <w:pPr>
        <w:pStyle w:val="8"/>
        <w:shd w:val="clear" w:color="auto" w:fill="FFFFFF"/>
        <w:adjustRightInd w:val="0"/>
        <w:snapToGrid w:val="0"/>
        <w:spacing w:before="0" w:beforeAutospacing="0" w:after="0" w:afterAutospacing="0" w:line="360" w:lineRule="auto"/>
        <w:rPr>
          <w:color w:val="202020"/>
        </w:rPr>
      </w:pPr>
      <w:r>
        <w:rPr>
          <w:rFonts w:hint="eastAsia"/>
          <w:color w:val="202020"/>
        </w:rPr>
        <w:t> 本招标项目采用的评标办法：综合评估法。</w:t>
      </w:r>
    </w:p>
    <w:p>
      <w:pPr>
        <w:adjustRightInd w:val="0"/>
        <w:snapToGrid w:val="0"/>
        <w:spacing w:line="360" w:lineRule="auto"/>
        <w:ind w:firstLine="480" w:firstLineChars="200"/>
        <w:jc w:val="left"/>
        <w:rPr>
          <w:color w:val="202020"/>
        </w:rPr>
      </w:pPr>
      <w:r>
        <w:rPr>
          <w:rFonts w:hint="eastAsia" w:ascii="宋体" w:hAnsi="宋体" w:eastAsia="宋体" w:cs="宋体"/>
          <w:color w:val="202020"/>
          <w:kern w:val="0"/>
          <w:sz w:val="24"/>
          <w:szCs w:val="24"/>
        </w:rPr>
        <w:t>（</w:t>
      </w:r>
      <w:r>
        <w:rPr>
          <w:rFonts w:ascii="宋体" w:hAnsi="宋体" w:eastAsia="宋体" w:cs="宋体"/>
          <w:color w:val="202020"/>
          <w:kern w:val="0"/>
          <w:sz w:val="24"/>
          <w:szCs w:val="24"/>
        </w:rPr>
        <w:t>1</w:t>
      </w:r>
      <w:r>
        <w:rPr>
          <w:rFonts w:hint="eastAsia" w:ascii="宋体" w:hAnsi="宋体" w:eastAsia="宋体" w:cs="宋体"/>
          <w:color w:val="202020"/>
          <w:kern w:val="0"/>
          <w:sz w:val="24"/>
          <w:szCs w:val="24"/>
        </w:rPr>
        <w:t>）投标报价</w:t>
      </w:r>
      <w:r>
        <w:rPr>
          <w:rFonts w:ascii="宋体" w:hAnsi="宋体"/>
          <w:color w:val="202020"/>
          <w:sz w:val="24"/>
        </w:rPr>
        <w:t>（50分）</w:t>
      </w:r>
    </w:p>
    <w:p>
      <w:pPr>
        <w:pStyle w:val="8"/>
        <w:shd w:val="clear" w:color="auto" w:fill="FFFFFF"/>
        <w:adjustRightInd w:val="0"/>
        <w:snapToGrid w:val="0"/>
        <w:spacing w:before="0" w:beforeAutospacing="0" w:after="0" w:afterAutospacing="0" w:line="360" w:lineRule="auto"/>
        <w:ind w:firstLine="480" w:firstLineChars="200"/>
        <w:rPr>
          <w:color w:val="202020"/>
        </w:rPr>
      </w:pPr>
      <w:r>
        <w:rPr>
          <w:rFonts w:hint="eastAsia"/>
          <w:bCs/>
        </w:rPr>
        <w:t>有效</w:t>
      </w:r>
      <w:r>
        <w:rPr>
          <w:bCs/>
        </w:rPr>
        <w:t>投标单位在5家（含5家）内，按各家所报的总价计算平均值；投标单位超过5家，去掉1个最高和1个最低的，按余下单位的总价计算平均值。</w:t>
      </w:r>
      <w:r>
        <w:rPr>
          <w:rFonts w:hint="eastAsia"/>
          <w:bCs/>
        </w:rPr>
        <w:t>以平均值作为</w:t>
      </w:r>
      <w:r>
        <w:rPr>
          <w:bCs/>
        </w:rPr>
        <w:t>基准</w:t>
      </w:r>
      <w:r>
        <w:rPr>
          <w:rFonts w:hint="eastAsia"/>
          <w:bCs/>
        </w:rPr>
        <w:t>价</w:t>
      </w:r>
      <w:r>
        <w:rPr>
          <w:bCs/>
        </w:rPr>
        <w:t>，</w:t>
      </w:r>
      <w:r>
        <w:rPr>
          <w:rFonts w:hint="eastAsia"/>
          <w:bCs/>
        </w:rPr>
        <w:t>投标报价等于基准价的得满分，</w:t>
      </w:r>
      <w:r>
        <w:rPr>
          <w:bCs/>
        </w:rPr>
        <w:t>每高于基准</w:t>
      </w:r>
      <w:r>
        <w:rPr>
          <w:rFonts w:hint="eastAsia"/>
          <w:bCs/>
        </w:rPr>
        <w:t>价</w:t>
      </w:r>
      <w:r>
        <w:rPr>
          <w:bCs/>
        </w:rPr>
        <w:t>1％扣0.5分，</w:t>
      </w:r>
      <w:r>
        <w:rPr>
          <w:rFonts w:hint="eastAsia"/>
          <w:bCs/>
        </w:rPr>
        <w:t>每低于基准价1%扣0.3分。</w:t>
      </w:r>
      <w:r>
        <w:rPr>
          <w:bCs/>
        </w:rPr>
        <w:t>（小数点后保留两位）</w:t>
      </w:r>
      <w:r>
        <w:rPr>
          <w:rFonts w:hint="eastAsia"/>
          <w:color w:val="202020"/>
        </w:rPr>
        <w:t>。</w:t>
      </w:r>
    </w:p>
    <w:p>
      <w:pPr>
        <w:adjustRightInd w:val="0"/>
        <w:snapToGrid w:val="0"/>
        <w:spacing w:line="360" w:lineRule="auto"/>
        <w:ind w:firstLine="480" w:firstLineChars="200"/>
        <w:jc w:val="left"/>
        <w:rPr>
          <w:bCs/>
        </w:rPr>
      </w:pPr>
      <w:r>
        <w:rPr>
          <w:rFonts w:hint="eastAsia" w:ascii="宋体" w:hAnsi="宋体" w:eastAsia="宋体" w:cs="宋体"/>
          <w:bCs/>
          <w:kern w:val="0"/>
          <w:sz w:val="24"/>
          <w:szCs w:val="24"/>
        </w:rPr>
        <w:t>（</w:t>
      </w:r>
      <w:r>
        <w:rPr>
          <w:rFonts w:ascii="宋体" w:hAnsi="宋体" w:eastAsia="宋体" w:cs="宋体"/>
          <w:bCs/>
          <w:kern w:val="0"/>
          <w:sz w:val="24"/>
          <w:szCs w:val="24"/>
        </w:rPr>
        <w:t>2）</w:t>
      </w:r>
      <w:r>
        <w:rPr>
          <w:rFonts w:hint="eastAsia" w:ascii="宋体" w:hAnsi="宋体" w:eastAsia="宋体" w:cs="宋体"/>
          <w:bCs/>
          <w:kern w:val="0"/>
          <w:sz w:val="24"/>
          <w:szCs w:val="24"/>
        </w:rPr>
        <w:t>设计内容</w:t>
      </w:r>
      <w:r>
        <w:rPr>
          <w:rFonts w:hint="eastAsia" w:ascii="宋体" w:hAnsi="宋体"/>
          <w:bCs/>
          <w:sz w:val="24"/>
        </w:rPr>
        <w:t>（</w:t>
      </w:r>
      <w:r>
        <w:rPr>
          <w:rFonts w:ascii="宋体" w:hAnsi="宋体"/>
          <w:bCs/>
          <w:sz w:val="24"/>
        </w:rPr>
        <w:t>20分）</w:t>
      </w:r>
    </w:p>
    <w:p>
      <w:pPr>
        <w:adjustRightInd w:val="0"/>
        <w:snapToGrid w:val="0"/>
        <w:spacing w:line="360" w:lineRule="auto"/>
        <w:ind w:firstLine="432" w:firstLineChars="200"/>
        <w:rPr>
          <w:spacing w:val="-12"/>
        </w:rPr>
      </w:pPr>
      <w:r>
        <w:rPr>
          <w:rFonts w:hint="eastAsia" w:ascii="宋体" w:hAnsi="宋体"/>
          <w:spacing w:val="-12"/>
          <w:sz w:val="24"/>
        </w:rPr>
        <w:t>根据设计文件、规划方案等内容的齐全完整，图表清晰情况进行评分。（评分细则：</w:t>
      </w:r>
      <w:r>
        <w:rPr>
          <w:rFonts w:ascii="宋体" w:hAnsi="宋体"/>
          <w:spacing w:val="-12"/>
          <w:sz w:val="24"/>
        </w:rPr>
        <w:t>优得</w:t>
      </w:r>
      <w:r>
        <w:rPr>
          <w:rFonts w:ascii="宋体" w:hAnsi="宋体"/>
          <w:color w:val="auto"/>
          <w:spacing w:val="-12"/>
          <w:sz w:val="24"/>
        </w:rPr>
        <w:t>13～20分，较好得7～13分，一般得1～7分</w:t>
      </w:r>
      <w:r>
        <w:rPr>
          <w:rFonts w:hint="eastAsia" w:ascii="宋体" w:hAnsi="宋体"/>
          <w:color w:val="auto"/>
          <w:spacing w:val="-12"/>
          <w:sz w:val="24"/>
        </w:rPr>
        <w:t>）</w:t>
      </w:r>
    </w:p>
    <w:p>
      <w:pPr>
        <w:adjustRightInd w:val="0"/>
        <w:snapToGrid w:val="0"/>
        <w:spacing w:line="360" w:lineRule="auto"/>
        <w:ind w:firstLine="432" w:firstLineChars="200"/>
        <w:jc w:val="left"/>
        <w:rPr>
          <w:spacing w:val="-12"/>
        </w:rPr>
      </w:pPr>
      <w:r>
        <w:rPr>
          <w:rFonts w:hint="eastAsia" w:ascii="宋体" w:hAnsi="宋体"/>
          <w:spacing w:val="-12"/>
          <w:sz w:val="24"/>
        </w:rPr>
        <w:t>（3）设计方案（15分）</w:t>
      </w:r>
    </w:p>
    <w:p>
      <w:pPr>
        <w:adjustRightInd w:val="0"/>
        <w:snapToGrid w:val="0"/>
        <w:spacing w:line="360" w:lineRule="auto"/>
        <w:ind w:firstLine="432" w:firstLineChars="200"/>
        <w:rPr>
          <w:spacing w:val="-12"/>
        </w:rPr>
      </w:pPr>
      <w:r>
        <w:rPr>
          <w:rFonts w:hint="eastAsia" w:ascii="宋体" w:hAnsi="宋体"/>
          <w:spacing w:val="-12"/>
          <w:sz w:val="24"/>
        </w:rPr>
        <w:t>据总体设计、设计方案的施工可行性，设计方案是否符合国家规定，科学合理，是否能够满足标书提出的指标要求，</w:t>
      </w:r>
      <w:r>
        <w:rPr>
          <w:rFonts w:ascii="宋体" w:hAnsi="宋体"/>
          <w:spacing w:val="-12"/>
          <w:sz w:val="24"/>
        </w:rPr>
        <w:t>投资估算的合理性</w:t>
      </w:r>
      <w:r>
        <w:rPr>
          <w:rFonts w:hint="eastAsia" w:ascii="宋体" w:hAnsi="宋体"/>
          <w:spacing w:val="-12"/>
          <w:sz w:val="24"/>
        </w:rPr>
        <w:t>，以及总体布局的合理性进行打分。（评分细则：</w:t>
      </w:r>
      <w:r>
        <w:rPr>
          <w:rFonts w:ascii="宋体" w:hAnsi="宋体"/>
          <w:color w:val="auto"/>
          <w:spacing w:val="-12"/>
          <w:sz w:val="24"/>
        </w:rPr>
        <w:t>优得10～15分，较好得5～10分，一般得1～5分</w:t>
      </w:r>
      <w:r>
        <w:rPr>
          <w:rFonts w:hint="eastAsia" w:ascii="宋体" w:hAnsi="宋体"/>
          <w:color w:val="auto"/>
          <w:spacing w:val="-12"/>
          <w:sz w:val="24"/>
        </w:rPr>
        <w:t>）</w:t>
      </w:r>
    </w:p>
    <w:p>
      <w:pPr>
        <w:adjustRightInd w:val="0"/>
        <w:snapToGrid w:val="0"/>
        <w:spacing w:line="360" w:lineRule="auto"/>
        <w:ind w:firstLine="432" w:firstLineChars="200"/>
        <w:rPr>
          <w:spacing w:val="-12"/>
        </w:rPr>
      </w:pPr>
      <w:r>
        <w:rPr>
          <w:rFonts w:hint="eastAsia" w:ascii="宋体" w:hAnsi="宋体"/>
          <w:spacing w:val="-12"/>
          <w:sz w:val="24"/>
        </w:rPr>
        <w:t>（4）设计业绩（5分）</w:t>
      </w:r>
    </w:p>
    <w:p>
      <w:pPr>
        <w:adjustRightInd w:val="0"/>
        <w:snapToGrid w:val="0"/>
        <w:spacing w:line="360" w:lineRule="auto"/>
        <w:ind w:firstLine="432" w:firstLineChars="200"/>
        <w:rPr>
          <w:rFonts w:asciiTheme="minorEastAsia" w:hAnsiTheme="minorEastAsia"/>
          <w:spacing w:val="-12"/>
        </w:rPr>
      </w:pPr>
      <w:r>
        <w:rPr>
          <w:rFonts w:hint="eastAsia" w:asciiTheme="minorEastAsia" w:hAnsiTheme="minorEastAsia"/>
          <w:spacing w:val="-12"/>
          <w:sz w:val="24"/>
        </w:rPr>
        <w:t>①</w:t>
      </w:r>
      <w:r>
        <w:rPr>
          <w:rFonts w:hint="eastAsia" w:ascii="宋体" w:hAnsi="宋体"/>
          <w:spacing w:val="-12"/>
          <w:sz w:val="24"/>
        </w:rPr>
        <w:t>企业具有</w:t>
      </w:r>
      <w:r>
        <w:rPr>
          <w:rFonts w:ascii="宋体" w:hAnsi="宋体"/>
          <w:spacing w:val="-12"/>
          <w:sz w:val="24"/>
        </w:rPr>
        <w:t>20</w:t>
      </w:r>
      <w:r>
        <w:rPr>
          <w:rFonts w:hint="eastAsia" w:ascii="宋体" w:hAnsi="宋体"/>
          <w:spacing w:val="-12"/>
          <w:sz w:val="24"/>
        </w:rPr>
        <w:t>11年11月</w:t>
      </w:r>
      <w:r>
        <w:rPr>
          <w:rFonts w:ascii="宋体" w:hAnsi="宋体"/>
          <w:spacing w:val="-12"/>
          <w:sz w:val="24"/>
        </w:rPr>
        <w:t>1</w:t>
      </w:r>
      <w:r>
        <w:rPr>
          <w:rFonts w:hint="eastAsia" w:ascii="宋体" w:hAnsi="宋体"/>
          <w:spacing w:val="-12"/>
          <w:sz w:val="24"/>
        </w:rPr>
        <w:t>日以来道路设计项目业绩</w:t>
      </w:r>
      <w:r>
        <w:rPr>
          <w:rFonts w:ascii="宋体" w:hAnsi="宋体"/>
          <w:spacing w:val="-12"/>
          <w:sz w:val="24"/>
        </w:rPr>
        <w:t>每1个得</w:t>
      </w:r>
      <w:r>
        <w:rPr>
          <w:rFonts w:hint="eastAsia" w:ascii="宋体" w:hAnsi="宋体"/>
          <w:spacing w:val="-12"/>
          <w:sz w:val="24"/>
        </w:rPr>
        <w:t>1</w:t>
      </w:r>
      <w:r>
        <w:rPr>
          <w:rFonts w:ascii="宋体" w:hAnsi="宋体"/>
          <w:spacing w:val="-12"/>
          <w:sz w:val="24"/>
        </w:rPr>
        <w:t>分</w:t>
      </w:r>
      <w:r>
        <w:rPr>
          <w:rFonts w:hint="eastAsia" w:ascii="宋体" w:hAnsi="宋体"/>
          <w:spacing w:val="-12"/>
          <w:sz w:val="24"/>
        </w:rPr>
        <w:t>，最高为3分。（提供业绩合同原件，复印件并编入投标文件中，未提供合同原件的该项不得分，时间以合同签订时间为准）</w:t>
      </w:r>
    </w:p>
    <w:p>
      <w:pPr>
        <w:adjustRightInd w:val="0"/>
        <w:snapToGrid w:val="0"/>
        <w:spacing w:line="360" w:lineRule="auto"/>
        <w:ind w:firstLine="432" w:firstLineChars="200"/>
        <w:rPr>
          <w:color w:val="FF0000"/>
          <w:spacing w:val="-12"/>
        </w:rPr>
      </w:pPr>
      <w:r>
        <w:rPr>
          <w:rFonts w:hint="eastAsia" w:asciiTheme="minorEastAsia" w:hAnsiTheme="minorEastAsia"/>
          <w:spacing w:val="-12"/>
          <w:sz w:val="24"/>
        </w:rPr>
        <w:t>②</w:t>
      </w:r>
      <w:r>
        <w:rPr>
          <w:rFonts w:hint="eastAsia" w:ascii="宋体" w:hAnsi="宋体"/>
          <w:spacing w:val="-12"/>
          <w:sz w:val="24"/>
        </w:rPr>
        <w:t>企业具有</w:t>
      </w:r>
      <w:r>
        <w:rPr>
          <w:rFonts w:ascii="宋体" w:hAnsi="宋体"/>
          <w:spacing w:val="-12"/>
          <w:sz w:val="24"/>
        </w:rPr>
        <w:t>20</w:t>
      </w:r>
      <w:r>
        <w:rPr>
          <w:rFonts w:hint="eastAsia" w:ascii="宋体" w:hAnsi="宋体"/>
          <w:spacing w:val="-12"/>
          <w:sz w:val="24"/>
        </w:rPr>
        <w:t>11年11月</w:t>
      </w:r>
      <w:r>
        <w:rPr>
          <w:rFonts w:ascii="宋体" w:hAnsi="宋体"/>
          <w:spacing w:val="-12"/>
          <w:sz w:val="24"/>
        </w:rPr>
        <w:t>1</w:t>
      </w:r>
      <w:r>
        <w:rPr>
          <w:rFonts w:hint="eastAsia" w:ascii="宋体" w:hAnsi="宋体"/>
          <w:spacing w:val="-12"/>
          <w:sz w:val="24"/>
        </w:rPr>
        <w:t>日以来有过工程实施期间交通疏导方案编制业绩，有1个得1分，最高得2分。（提供业绩合同原件，复印件并编入投标文件中，未提供合同原件的该项不得分，时间以合同签订时间为准）</w:t>
      </w:r>
    </w:p>
    <w:p>
      <w:pPr>
        <w:adjustRightInd w:val="0"/>
        <w:snapToGrid w:val="0"/>
        <w:spacing w:line="360" w:lineRule="auto"/>
        <w:ind w:firstLine="432" w:firstLineChars="200"/>
        <w:jc w:val="left"/>
        <w:rPr>
          <w:spacing w:val="-12"/>
        </w:rPr>
      </w:pPr>
      <w:r>
        <w:rPr>
          <w:rFonts w:hint="eastAsia" w:ascii="宋体" w:hAnsi="宋体"/>
          <w:spacing w:val="-12"/>
          <w:sz w:val="24"/>
        </w:rPr>
        <w:t>（</w:t>
      </w:r>
      <w:r>
        <w:rPr>
          <w:rFonts w:ascii="宋体" w:hAnsi="宋体"/>
          <w:spacing w:val="-12"/>
          <w:sz w:val="24"/>
        </w:rPr>
        <w:t>5）</w:t>
      </w:r>
      <w:r>
        <w:rPr>
          <w:rFonts w:hint="eastAsia" w:ascii="宋体" w:hAnsi="宋体"/>
          <w:spacing w:val="-12"/>
          <w:sz w:val="24"/>
        </w:rPr>
        <w:t>项目组成员（5分）</w:t>
      </w:r>
    </w:p>
    <w:p>
      <w:pPr>
        <w:adjustRightInd w:val="0"/>
        <w:snapToGrid w:val="0"/>
        <w:spacing w:line="360" w:lineRule="auto"/>
        <w:ind w:firstLine="432" w:firstLineChars="200"/>
        <w:jc w:val="left"/>
        <w:rPr>
          <w:rFonts w:ascii="宋体" w:hAnsi="宋体"/>
          <w:spacing w:val="-12"/>
          <w:sz w:val="24"/>
          <w:highlight w:val="none"/>
        </w:rPr>
      </w:pPr>
      <w:r>
        <w:rPr>
          <w:rFonts w:ascii="宋体" w:hAnsi="宋体"/>
          <w:spacing w:val="-12"/>
          <w:sz w:val="24"/>
          <w:highlight w:val="none"/>
        </w:rPr>
        <w:t>设计组人员安排合理，规划、市政、园林绿化等专业人员配备齐全，得5分。</w:t>
      </w:r>
      <w:r>
        <w:rPr>
          <w:rFonts w:hint="eastAsia" w:ascii="宋体" w:hAnsi="宋体"/>
          <w:spacing w:val="-12"/>
          <w:sz w:val="24"/>
          <w:highlight w:val="none"/>
        </w:rPr>
        <w:t>规划、市政、园林绿化专业每少一位扣</w:t>
      </w:r>
      <w:r>
        <w:rPr>
          <w:rFonts w:ascii="宋体" w:hAnsi="宋体"/>
          <w:spacing w:val="-12"/>
          <w:sz w:val="24"/>
          <w:highlight w:val="none"/>
        </w:rPr>
        <w:t>1分。</w:t>
      </w:r>
    </w:p>
    <w:p>
      <w:pPr>
        <w:adjustRightInd w:val="0"/>
        <w:snapToGrid w:val="0"/>
        <w:spacing w:line="360" w:lineRule="auto"/>
        <w:ind w:firstLine="432" w:firstLineChars="200"/>
        <w:jc w:val="left"/>
        <w:rPr>
          <w:spacing w:val="-12"/>
        </w:rPr>
      </w:pPr>
      <w:r>
        <w:rPr>
          <w:rFonts w:hint="eastAsia" w:ascii="宋体" w:hAnsi="宋体"/>
          <w:spacing w:val="-12"/>
          <w:sz w:val="24"/>
        </w:rPr>
        <w:t>（6）实施期间交通分流疏导方案（5分）</w:t>
      </w:r>
    </w:p>
    <w:p>
      <w:pPr>
        <w:adjustRightInd w:val="0"/>
        <w:snapToGrid w:val="0"/>
        <w:spacing w:line="360" w:lineRule="auto"/>
        <w:ind w:firstLine="432" w:firstLineChars="200"/>
        <w:jc w:val="left"/>
        <w:rPr>
          <w:spacing w:val="-12"/>
        </w:rPr>
      </w:pPr>
      <w:r>
        <w:rPr>
          <w:rFonts w:hint="eastAsia" w:ascii="宋体" w:hAnsi="宋体"/>
          <w:spacing w:val="-12"/>
          <w:sz w:val="24"/>
        </w:rPr>
        <w:t xml:space="preserve"> 交通分流</w:t>
      </w:r>
      <w:r>
        <w:rPr>
          <w:rFonts w:ascii="宋体" w:hAnsi="宋体"/>
          <w:spacing w:val="-12"/>
          <w:sz w:val="24"/>
        </w:rPr>
        <w:t>的合理性</w:t>
      </w:r>
      <w:r>
        <w:rPr>
          <w:rFonts w:hint="eastAsia" w:ascii="宋体" w:hAnsi="宋体"/>
          <w:spacing w:val="-12"/>
          <w:sz w:val="24"/>
        </w:rPr>
        <w:t>（评分细则：</w:t>
      </w:r>
      <w:r>
        <w:rPr>
          <w:rFonts w:ascii="宋体" w:hAnsi="宋体"/>
          <w:spacing w:val="-12"/>
          <w:sz w:val="24"/>
        </w:rPr>
        <w:t>优得</w:t>
      </w:r>
      <w:r>
        <w:rPr>
          <w:rFonts w:hint="eastAsia" w:ascii="宋体" w:hAnsi="宋体"/>
          <w:spacing w:val="-12"/>
          <w:sz w:val="24"/>
        </w:rPr>
        <w:t>4</w:t>
      </w:r>
      <w:r>
        <w:rPr>
          <w:rFonts w:ascii="宋体" w:hAnsi="宋体"/>
          <w:spacing w:val="-12"/>
          <w:sz w:val="24"/>
        </w:rPr>
        <w:t>～</w:t>
      </w:r>
      <w:r>
        <w:rPr>
          <w:rFonts w:hint="eastAsia" w:ascii="宋体" w:hAnsi="宋体"/>
          <w:spacing w:val="-12"/>
          <w:sz w:val="24"/>
        </w:rPr>
        <w:t>5</w:t>
      </w:r>
      <w:r>
        <w:rPr>
          <w:rFonts w:ascii="宋体" w:hAnsi="宋体"/>
          <w:spacing w:val="-12"/>
          <w:sz w:val="24"/>
        </w:rPr>
        <w:t>分，较好得</w:t>
      </w:r>
      <w:r>
        <w:rPr>
          <w:rFonts w:hint="eastAsia" w:ascii="宋体" w:hAnsi="宋体"/>
          <w:spacing w:val="-12"/>
          <w:sz w:val="24"/>
        </w:rPr>
        <w:t>2</w:t>
      </w:r>
      <w:r>
        <w:rPr>
          <w:rFonts w:ascii="宋体" w:hAnsi="宋体"/>
          <w:spacing w:val="-12"/>
          <w:sz w:val="24"/>
        </w:rPr>
        <w:t>～</w:t>
      </w:r>
      <w:r>
        <w:rPr>
          <w:rFonts w:hint="eastAsia" w:ascii="宋体" w:hAnsi="宋体"/>
          <w:spacing w:val="-12"/>
          <w:sz w:val="24"/>
        </w:rPr>
        <w:t>4</w:t>
      </w:r>
      <w:r>
        <w:rPr>
          <w:rFonts w:ascii="宋体" w:hAnsi="宋体"/>
          <w:spacing w:val="-12"/>
          <w:sz w:val="24"/>
        </w:rPr>
        <w:t>分，一般得1～</w:t>
      </w:r>
      <w:r>
        <w:rPr>
          <w:rFonts w:hint="eastAsia" w:ascii="宋体" w:hAnsi="宋体"/>
          <w:spacing w:val="-12"/>
          <w:sz w:val="24"/>
        </w:rPr>
        <w:t>2</w:t>
      </w:r>
      <w:r>
        <w:rPr>
          <w:rFonts w:ascii="宋体" w:hAnsi="宋体"/>
          <w:spacing w:val="-12"/>
          <w:sz w:val="24"/>
        </w:rPr>
        <w:t>分</w:t>
      </w:r>
      <w:r>
        <w:rPr>
          <w:rFonts w:hint="eastAsia" w:ascii="宋体" w:hAnsi="宋体"/>
          <w:spacing w:val="-12"/>
          <w:sz w:val="24"/>
        </w:rPr>
        <w:t>）</w:t>
      </w:r>
    </w:p>
    <w:p>
      <w:pPr>
        <w:pStyle w:val="8"/>
        <w:shd w:val="clear" w:color="auto" w:fill="FFFFFF"/>
        <w:adjustRightInd w:val="0"/>
        <w:snapToGrid w:val="0"/>
        <w:spacing w:before="0" w:beforeAutospacing="0" w:after="0" w:afterAutospacing="0" w:line="360" w:lineRule="auto"/>
        <w:rPr>
          <w:b/>
          <w:color w:val="202020"/>
        </w:rPr>
      </w:pPr>
      <w:r>
        <w:rPr>
          <w:rFonts w:hint="eastAsia"/>
          <w:b/>
          <w:color w:val="202020"/>
        </w:rPr>
        <w:t>八、联系人及联系方式：</w:t>
      </w:r>
    </w:p>
    <w:p>
      <w:pPr>
        <w:pStyle w:val="8"/>
        <w:shd w:val="clear" w:color="auto" w:fill="FFFFFF"/>
        <w:adjustRightInd w:val="0"/>
        <w:snapToGrid w:val="0"/>
        <w:spacing w:before="0" w:beforeAutospacing="0" w:after="0" w:afterAutospacing="0" w:line="360" w:lineRule="auto"/>
        <w:rPr>
          <w:color w:val="202020"/>
        </w:rPr>
      </w:pPr>
      <w:r>
        <w:rPr>
          <w:rFonts w:hint="eastAsia"/>
          <w:color w:val="202020"/>
        </w:rPr>
        <w:t>招标人：南京河西工程项目管理有限公司</w:t>
      </w:r>
    </w:p>
    <w:p>
      <w:pPr>
        <w:pStyle w:val="8"/>
        <w:shd w:val="clear" w:color="auto" w:fill="FFFFFF"/>
        <w:adjustRightInd w:val="0"/>
        <w:snapToGrid w:val="0"/>
        <w:spacing w:before="0" w:beforeAutospacing="0" w:after="0" w:afterAutospacing="0" w:line="360" w:lineRule="auto"/>
        <w:rPr>
          <w:color w:val="202020"/>
        </w:rPr>
      </w:pPr>
      <w:r>
        <w:rPr>
          <w:rFonts w:hint="eastAsia"/>
          <w:color w:val="202020"/>
        </w:rPr>
        <w:t>地址：南京市建邺区应天大街</w:t>
      </w:r>
      <w:r>
        <w:rPr>
          <w:color w:val="202020"/>
        </w:rPr>
        <w:t>901</w:t>
      </w:r>
      <w:r>
        <w:rPr>
          <w:rFonts w:hint="eastAsia"/>
          <w:color w:val="202020"/>
        </w:rPr>
        <w:t>号</w:t>
      </w:r>
    </w:p>
    <w:p>
      <w:pPr>
        <w:pStyle w:val="8"/>
        <w:shd w:val="clear" w:color="auto" w:fill="FFFFFF"/>
        <w:adjustRightInd w:val="0"/>
        <w:snapToGrid w:val="0"/>
        <w:spacing w:before="0" w:beforeAutospacing="0" w:after="0" w:afterAutospacing="0" w:line="360" w:lineRule="auto"/>
        <w:rPr>
          <w:color w:val="202020"/>
        </w:rPr>
      </w:pPr>
      <w:r>
        <w:rPr>
          <w:rFonts w:hint="eastAsia"/>
          <w:color w:val="202020"/>
        </w:rPr>
        <w:t>邮编：</w:t>
      </w:r>
      <w:r>
        <w:rPr>
          <w:color w:val="202020"/>
        </w:rPr>
        <w:t xml:space="preserve"> 210019</w:t>
      </w:r>
    </w:p>
    <w:p>
      <w:pPr>
        <w:pStyle w:val="8"/>
        <w:shd w:val="clear" w:color="auto" w:fill="FFFFFF"/>
        <w:adjustRightInd w:val="0"/>
        <w:snapToGrid w:val="0"/>
        <w:spacing w:before="0" w:beforeAutospacing="0" w:after="0" w:afterAutospacing="0" w:line="360" w:lineRule="auto"/>
        <w:rPr>
          <w:color w:val="202020"/>
        </w:rPr>
      </w:pPr>
      <w:r>
        <w:rPr>
          <w:rFonts w:hint="eastAsia"/>
          <w:color w:val="202020"/>
        </w:rPr>
        <w:t>联系人：常工</w:t>
      </w:r>
    </w:p>
    <w:p>
      <w:pPr>
        <w:pStyle w:val="8"/>
        <w:shd w:val="clear" w:color="auto" w:fill="FFFFFF"/>
        <w:adjustRightInd w:val="0"/>
        <w:snapToGrid w:val="0"/>
        <w:spacing w:before="0" w:beforeAutospacing="0" w:after="0" w:afterAutospacing="0" w:line="360" w:lineRule="auto"/>
        <w:rPr>
          <w:color w:val="202020"/>
        </w:rPr>
      </w:pPr>
      <w:r>
        <w:rPr>
          <w:rFonts w:hint="eastAsia"/>
          <w:color w:val="202020"/>
        </w:rPr>
        <w:t>电话：</w:t>
      </w:r>
      <w:r>
        <w:rPr>
          <w:color w:val="202020"/>
        </w:rPr>
        <w:t>025-86496703</w:t>
      </w:r>
    </w:p>
    <w:p>
      <w:pPr>
        <w:pStyle w:val="8"/>
        <w:shd w:val="clear" w:color="auto" w:fill="FFFFFF"/>
        <w:adjustRightInd w:val="0"/>
        <w:snapToGrid w:val="0"/>
        <w:spacing w:before="0" w:beforeAutospacing="0" w:after="0" w:afterAutospacing="0" w:line="360" w:lineRule="auto"/>
        <w:rPr>
          <w:color w:val="202020"/>
        </w:rPr>
      </w:pPr>
      <w:r>
        <w:rPr>
          <w:rFonts w:hint="eastAsia"/>
          <w:color w:val="202020"/>
        </w:rPr>
        <w:t>传真：</w:t>
      </w:r>
    </w:p>
    <w:p>
      <w:pPr>
        <w:pStyle w:val="3"/>
        <w:adjustRightInd w:val="0"/>
        <w:snapToGrid w:val="0"/>
        <w:spacing w:line="360" w:lineRule="auto"/>
        <w:rPr>
          <w:rFonts w:ascii="宋体" w:hAnsi="宋体"/>
          <w:kern w:val="0"/>
          <w:sz w:val="24"/>
        </w:rPr>
      </w:pPr>
    </w:p>
    <w:p>
      <w:pPr>
        <w:pStyle w:val="3"/>
        <w:adjustRightInd w:val="0"/>
        <w:snapToGrid w:val="0"/>
        <w:spacing w:line="360" w:lineRule="auto"/>
        <w:rPr>
          <w:rFonts w:ascii="宋体" w:hAnsi="宋体"/>
          <w:kern w:val="0"/>
          <w:sz w:val="24"/>
        </w:rPr>
      </w:pPr>
      <w:r>
        <w:rPr>
          <w:rFonts w:ascii="宋体" w:hAnsi="宋体"/>
          <w:kern w:val="0"/>
          <w:sz w:val="24"/>
        </w:rPr>
        <w:t>招标代理机构：</w:t>
      </w:r>
      <w:r>
        <w:rPr>
          <w:rFonts w:hint="eastAsia" w:ascii="宋体" w:hAnsi="宋体"/>
          <w:kern w:val="0"/>
          <w:sz w:val="24"/>
        </w:rPr>
        <w:t xml:space="preserve">中泰百聪工程管理有限公司 </w:t>
      </w:r>
    </w:p>
    <w:p>
      <w:pPr>
        <w:pStyle w:val="3"/>
        <w:adjustRightInd w:val="0"/>
        <w:snapToGrid w:val="0"/>
        <w:spacing w:line="360" w:lineRule="auto"/>
        <w:rPr>
          <w:rFonts w:ascii="宋体" w:hAnsi="宋体"/>
          <w:kern w:val="0"/>
          <w:sz w:val="24"/>
        </w:rPr>
      </w:pPr>
      <w:r>
        <w:rPr>
          <w:rFonts w:ascii="宋体" w:hAnsi="宋体"/>
          <w:kern w:val="0"/>
          <w:sz w:val="24"/>
        </w:rPr>
        <w:t>代理机构地址：</w:t>
      </w:r>
      <w:r>
        <w:rPr>
          <w:rFonts w:hint="eastAsia" w:cs="宋体"/>
          <w:kern w:val="0"/>
          <w:sz w:val="24"/>
        </w:rPr>
        <w:t>南京市雨花台区安德门大街57号楚翘城2幢509室</w:t>
      </w:r>
    </w:p>
    <w:p>
      <w:pPr>
        <w:pStyle w:val="3"/>
        <w:adjustRightInd w:val="0"/>
        <w:snapToGrid w:val="0"/>
        <w:spacing w:line="360" w:lineRule="auto"/>
        <w:rPr>
          <w:rFonts w:ascii="宋体" w:hAnsi="宋体"/>
          <w:kern w:val="0"/>
          <w:sz w:val="24"/>
        </w:rPr>
      </w:pPr>
      <w:r>
        <w:rPr>
          <w:rFonts w:ascii="宋体" w:hAnsi="宋体"/>
          <w:kern w:val="0"/>
          <w:sz w:val="24"/>
        </w:rPr>
        <w:t>代理机构联系人：</w:t>
      </w:r>
      <w:r>
        <w:rPr>
          <w:rFonts w:hint="eastAsia" w:ascii="宋体" w:hAnsi="宋体"/>
          <w:kern w:val="0"/>
          <w:sz w:val="24"/>
        </w:rPr>
        <w:t>吴工</w:t>
      </w:r>
    </w:p>
    <w:p>
      <w:pPr>
        <w:pStyle w:val="3"/>
        <w:adjustRightInd w:val="0"/>
        <w:snapToGrid w:val="0"/>
        <w:spacing w:line="360" w:lineRule="auto"/>
        <w:rPr>
          <w:rFonts w:ascii="宋体" w:hAnsi="宋体"/>
          <w:kern w:val="0"/>
          <w:sz w:val="24"/>
        </w:rPr>
      </w:pPr>
      <w:r>
        <w:rPr>
          <w:rFonts w:ascii="宋体" w:hAnsi="宋体"/>
          <w:kern w:val="0"/>
          <w:sz w:val="24"/>
        </w:rPr>
        <w:t>代理机构联系电话：</w:t>
      </w:r>
      <w:r>
        <w:rPr>
          <w:rFonts w:hint="eastAsia" w:ascii="宋体" w:hAnsi="宋体"/>
          <w:kern w:val="0"/>
          <w:sz w:val="24"/>
        </w:rPr>
        <w:t>86526796，13813895309</w:t>
      </w:r>
    </w:p>
    <w:p>
      <w:pPr>
        <w:pStyle w:val="3"/>
        <w:adjustRightInd w:val="0"/>
        <w:snapToGrid w:val="0"/>
        <w:spacing w:line="360" w:lineRule="auto"/>
        <w:rPr>
          <w:rFonts w:ascii="宋体" w:hAnsi="宋体"/>
          <w:kern w:val="0"/>
          <w:szCs w:val="21"/>
        </w:rPr>
      </w:pPr>
      <w:r>
        <w:rPr>
          <w:rFonts w:ascii="宋体" w:hAnsi="宋体"/>
          <w:kern w:val="0"/>
          <w:sz w:val="24"/>
        </w:rPr>
        <w:t>代理机构传真：</w:t>
      </w:r>
      <w:r>
        <w:rPr>
          <w:rFonts w:hint="eastAsia" w:ascii="宋体" w:hAnsi="宋体"/>
          <w:kern w:val="0"/>
          <w:sz w:val="24"/>
        </w:rPr>
        <w:t>/</w:t>
      </w:r>
    </w:p>
    <w:p>
      <w:pPr>
        <w:widowControl/>
        <w:adjustRightInd w:val="0"/>
        <w:snapToGrid w:val="0"/>
        <w:spacing w:line="360" w:lineRule="auto"/>
        <w:jc w:val="left"/>
        <w:rPr>
          <w:rFonts w:ascii="宋体" w:hAnsi="宋体" w:eastAsia="宋体" w:cs="Times New Roman"/>
          <w:kern w:val="0"/>
          <w:sz w:val="24"/>
          <w:szCs w:val="24"/>
        </w:rPr>
      </w:pPr>
    </w:p>
    <w:p>
      <w:pPr>
        <w:pStyle w:val="8"/>
        <w:shd w:val="clear" w:color="auto" w:fill="FFFFFF"/>
        <w:spacing w:before="0" w:beforeAutospacing="0" w:after="0" w:afterAutospacing="0" w:line="360" w:lineRule="auto"/>
        <w:rPr>
          <w:color w:val="3D3D3D"/>
        </w:rPr>
      </w:pPr>
    </w:p>
    <w:sectPr>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4D08"/>
    <w:rsid w:val="0001124E"/>
    <w:rsid w:val="00013F25"/>
    <w:rsid w:val="00066913"/>
    <w:rsid w:val="00066FC6"/>
    <w:rsid w:val="000677D4"/>
    <w:rsid w:val="000831F7"/>
    <w:rsid w:val="000A0A63"/>
    <w:rsid w:val="000D111D"/>
    <w:rsid w:val="000E2F7F"/>
    <w:rsid w:val="001009EB"/>
    <w:rsid w:val="00121DD4"/>
    <w:rsid w:val="001366FD"/>
    <w:rsid w:val="00137F2A"/>
    <w:rsid w:val="00144D08"/>
    <w:rsid w:val="00170DD1"/>
    <w:rsid w:val="001A6271"/>
    <w:rsid w:val="001D36F9"/>
    <w:rsid w:val="001F54B9"/>
    <w:rsid w:val="002110CF"/>
    <w:rsid w:val="0021308B"/>
    <w:rsid w:val="00230094"/>
    <w:rsid w:val="0024048A"/>
    <w:rsid w:val="00246036"/>
    <w:rsid w:val="00274635"/>
    <w:rsid w:val="00277C51"/>
    <w:rsid w:val="0028126A"/>
    <w:rsid w:val="00286710"/>
    <w:rsid w:val="002C053F"/>
    <w:rsid w:val="002E33CC"/>
    <w:rsid w:val="002E3CCA"/>
    <w:rsid w:val="002F3986"/>
    <w:rsid w:val="00302AA5"/>
    <w:rsid w:val="00324A54"/>
    <w:rsid w:val="00326CF4"/>
    <w:rsid w:val="00337A14"/>
    <w:rsid w:val="00352349"/>
    <w:rsid w:val="00373270"/>
    <w:rsid w:val="00376B95"/>
    <w:rsid w:val="0038202A"/>
    <w:rsid w:val="00386F61"/>
    <w:rsid w:val="003A05B4"/>
    <w:rsid w:val="003C3145"/>
    <w:rsid w:val="003C67A8"/>
    <w:rsid w:val="003D56ED"/>
    <w:rsid w:val="003F5A3E"/>
    <w:rsid w:val="00401F2F"/>
    <w:rsid w:val="0040478F"/>
    <w:rsid w:val="00440E8C"/>
    <w:rsid w:val="0047192E"/>
    <w:rsid w:val="00475F43"/>
    <w:rsid w:val="004853CF"/>
    <w:rsid w:val="004A1890"/>
    <w:rsid w:val="004B6E49"/>
    <w:rsid w:val="004B78C6"/>
    <w:rsid w:val="004D47E4"/>
    <w:rsid w:val="004F25A1"/>
    <w:rsid w:val="004F62FA"/>
    <w:rsid w:val="00504E77"/>
    <w:rsid w:val="00520B25"/>
    <w:rsid w:val="005215BB"/>
    <w:rsid w:val="005449BE"/>
    <w:rsid w:val="005742FA"/>
    <w:rsid w:val="00592375"/>
    <w:rsid w:val="005A1A94"/>
    <w:rsid w:val="005A271B"/>
    <w:rsid w:val="005D6B84"/>
    <w:rsid w:val="005E21EF"/>
    <w:rsid w:val="005F653D"/>
    <w:rsid w:val="0062247E"/>
    <w:rsid w:val="0066020A"/>
    <w:rsid w:val="006A2D5F"/>
    <w:rsid w:val="006A43E3"/>
    <w:rsid w:val="006D0E65"/>
    <w:rsid w:val="00703C80"/>
    <w:rsid w:val="00711907"/>
    <w:rsid w:val="00755731"/>
    <w:rsid w:val="00764017"/>
    <w:rsid w:val="007745D4"/>
    <w:rsid w:val="007D1AB3"/>
    <w:rsid w:val="007D1B6F"/>
    <w:rsid w:val="00800034"/>
    <w:rsid w:val="00803B8D"/>
    <w:rsid w:val="00803CE9"/>
    <w:rsid w:val="00817D5E"/>
    <w:rsid w:val="00832686"/>
    <w:rsid w:val="00836115"/>
    <w:rsid w:val="00881B80"/>
    <w:rsid w:val="008875E0"/>
    <w:rsid w:val="008B4A36"/>
    <w:rsid w:val="009300A1"/>
    <w:rsid w:val="00943E6C"/>
    <w:rsid w:val="00954151"/>
    <w:rsid w:val="00956F8F"/>
    <w:rsid w:val="009819F3"/>
    <w:rsid w:val="0098681C"/>
    <w:rsid w:val="009906BF"/>
    <w:rsid w:val="00995E12"/>
    <w:rsid w:val="009A3E13"/>
    <w:rsid w:val="009C1D27"/>
    <w:rsid w:val="009E27E1"/>
    <w:rsid w:val="00A2127D"/>
    <w:rsid w:val="00A30EC0"/>
    <w:rsid w:val="00A5088D"/>
    <w:rsid w:val="00A64A0C"/>
    <w:rsid w:val="00A6573A"/>
    <w:rsid w:val="00A94564"/>
    <w:rsid w:val="00AC50A1"/>
    <w:rsid w:val="00AD02A8"/>
    <w:rsid w:val="00AD4E09"/>
    <w:rsid w:val="00AD719B"/>
    <w:rsid w:val="00AF103F"/>
    <w:rsid w:val="00AF253E"/>
    <w:rsid w:val="00B12405"/>
    <w:rsid w:val="00B30347"/>
    <w:rsid w:val="00B312F3"/>
    <w:rsid w:val="00B559D1"/>
    <w:rsid w:val="00B60C09"/>
    <w:rsid w:val="00B73717"/>
    <w:rsid w:val="00B7484A"/>
    <w:rsid w:val="00B837C0"/>
    <w:rsid w:val="00BB4C63"/>
    <w:rsid w:val="00BB654F"/>
    <w:rsid w:val="00C1014E"/>
    <w:rsid w:val="00C66DD3"/>
    <w:rsid w:val="00C67E1D"/>
    <w:rsid w:val="00C7584D"/>
    <w:rsid w:val="00C8417D"/>
    <w:rsid w:val="00C90337"/>
    <w:rsid w:val="00CA6D6A"/>
    <w:rsid w:val="00D07323"/>
    <w:rsid w:val="00D41157"/>
    <w:rsid w:val="00D44FF3"/>
    <w:rsid w:val="00D52FA3"/>
    <w:rsid w:val="00D552F0"/>
    <w:rsid w:val="00DD2C9B"/>
    <w:rsid w:val="00DD6FC0"/>
    <w:rsid w:val="00E055EE"/>
    <w:rsid w:val="00E11E3D"/>
    <w:rsid w:val="00E259BF"/>
    <w:rsid w:val="00E36B4C"/>
    <w:rsid w:val="00E422AE"/>
    <w:rsid w:val="00E621C0"/>
    <w:rsid w:val="00E643D9"/>
    <w:rsid w:val="00E64BBE"/>
    <w:rsid w:val="00E83521"/>
    <w:rsid w:val="00EA6C06"/>
    <w:rsid w:val="00EA79CF"/>
    <w:rsid w:val="00EC5FAE"/>
    <w:rsid w:val="00EE3478"/>
    <w:rsid w:val="00EF23C5"/>
    <w:rsid w:val="00F04E23"/>
    <w:rsid w:val="00F14985"/>
    <w:rsid w:val="00F31B78"/>
    <w:rsid w:val="00F336D5"/>
    <w:rsid w:val="00F337A9"/>
    <w:rsid w:val="00F41EFD"/>
    <w:rsid w:val="00F4203C"/>
    <w:rsid w:val="00F463F4"/>
    <w:rsid w:val="00F56862"/>
    <w:rsid w:val="00F64A91"/>
    <w:rsid w:val="00F84BA2"/>
    <w:rsid w:val="00F9174B"/>
    <w:rsid w:val="00F91834"/>
    <w:rsid w:val="00FA0D63"/>
    <w:rsid w:val="00FB12EA"/>
    <w:rsid w:val="00FB3A5C"/>
    <w:rsid w:val="00FE5315"/>
    <w:rsid w:val="0FAF4CF3"/>
    <w:rsid w:val="61367BB6"/>
    <w:rsid w:val="66064F1B"/>
    <w:rsid w:val="68013A5C"/>
    <w:rsid w:val="6DB22DB9"/>
    <w:rsid w:val="75D65F4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0"/>
    <w:unhideWhenUsed/>
    <w:qFormat/>
    <w:uiPriority w:val="99"/>
    <w:rPr>
      <w:rFonts w:asciiTheme="minorHAnsi" w:hAnsiTheme="minorHAnsi" w:eastAsiaTheme="minorEastAsia" w:cstheme="minorBidi"/>
      <w:b/>
      <w:bCs/>
      <w:szCs w:val="22"/>
    </w:rPr>
  </w:style>
  <w:style w:type="paragraph" w:styleId="3">
    <w:name w:val="annotation text"/>
    <w:basedOn w:val="1"/>
    <w:link w:val="18"/>
    <w:qFormat/>
    <w:uiPriority w:val="0"/>
    <w:pPr>
      <w:jc w:val="left"/>
    </w:pPr>
    <w:rPr>
      <w:rFonts w:ascii="Times New Roman" w:hAnsi="Times New Roman" w:eastAsia="宋体" w:cs="Times New Roman"/>
      <w:szCs w:val="24"/>
    </w:rPr>
  </w:style>
  <w:style w:type="paragraph" w:styleId="4">
    <w:name w:val="Plain Text"/>
    <w:basedOn w:val="1"/>
    <w:link w:val="13"/>
    <w:unhideWhenUsed/>
    <w:qFormat/>
    <w:uiPriority w:val="99"/>
    <w:rPr>
      <w:rFonts w:ascii="宋体" w:hAnsi="Consolas" w:eastAsia="宋体"/>
      <w:szCs w:val="21"/>
    </w:rPr>
  </w:style>
  <w:style w:type="paragraph" w:styleId="5">
    <w:name w:val="Balloon Text"/>
    <w:basedOn w:val="1"/>
    <w:link w:val="16"/>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uiPriority w:val="0"/>
    <w:rPr>
      <w:rFonts w:ascii="Times New Roman" w:hAnsi="Times New Roman" w:eastAsia="宋体" w:cs="Times New Roman"/>
      <w:color w:val="0000FF"/>
      <w:u w:val="single"/>
    </w:rPr>
  </w:style>
  <w:style w:type="character" w:styleId="11">
    <w:name w:val="annotation reference"/>
    <w:basedOn w:val="9"/>
    <w:semiHidden/>
    <w:uiPriority w:val="0"/>
    <w:rPr>
      <w:sz w:val="21"/>
      <w:szCs w:val="21"/>
    </w:rPr>
  </w:style>
  <w:style w:type="character" w:customStyle="1" w:styleId="13">
    <w:name w:val="纯文本 Char"/>
    <w:basedOn w:val="9"/>
    <w:link w:val="4"/>
    <w:uiPriority w:val="99"/>
    <w:rPr>
      <w:rFonts w:ascii="宋体" w:hAnsi="Consolas" w:eastAsia="宋体"/>
      <w:szCs w:val="21"/>
    </w:rPr>
  </w:style>
  <w:style w:type="character" w:customStyle="1" w:styleId="14">
    <w:name w:val="页眉 Char"/>
    <w:basedOn w:val="9"/>
    <w:link w:val="7"/>
    <w:semiHidden/>
    <w:uiPriority w:val="99"/>
    <w:rPr>
      <w:sz w:val="18"/>
      <w:szCs w:val="18"/>
    </w:rPr>
  </w:style>
  <w:style w:type="character" w:customStyle="1" w:styleId="15">
    <w:name w:val="页脚 Char"/>
    <w:basedOn w:val="9"/>
    <w:link w:val="6"/>
    <w:semiHidden/>
    <w:uiPriority w:val="99"/>
    <w:rPr>
      <w:sz w:val="18"/>
      <w:szCs w:val="18"/>
    </w:rPr>
  </w:style>
  <w:style w:type="character" w:customStyle="1" w:styleId="16">
    <w:name w:val="批注框文本 Char"/>
    <w:basedOn w:val="9"/>
    <w:link w:val="5"/>
    <w:semiHidden/>
    <w:uiPriority w:val="99"/>
    <w:rPr>
      <w:sz w:val="18"/>
      <w:szCs w:val="18"/>
    </w:rPr>
  </w:style>
  <w:style w:type="character" w:customStyle="1" w:styleId="17">
    <w:name w:val="批注文字 Char"/>
    <w:basedOn w:val="9"/>
    <w:link w:val="3"/>
    <w:qFormat/>
    <w:uiPriority w:val="0"/>
    <w:rPr>
      <w:rFonts w:ascii="Times New Roman" w:hAnsi="Times New Roman" w:eastAsia="宋体" w:cs="Times New Roman"/>
      <w:szCs w:val="24"/>
    </w:rPr>
  </w:style>
  <w:style w:type="character" w:customStyle="1" w:styleId="18">
    <w:name w:val="批注文字 Char1"/>
    <w:basedOn w:val="9"/>
    <w:link w:val="3"/>
    <w:semiHidden/>
    <w:uiPriority w:val="99"/>
  </w:style>
  <w:style w:type="character" w:customStyle="1" w:styleId="19">
    <w:name w:val="op_dict3_font24"/>
    <w:basedOn w:val="9"/>
    <w:uiPriority w:val="0"/>
  </w:style>
  <w:style w:type="character" w:customStyle="1" w:styleId="20">
    <w:name w:val="批注主题 Char"/>
    <w:basedOn w:val="18"/>
    <w:link w:val="2"/>
    <w:semiHidden/>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429</Words>
  <Characters>2449</Characters>
  <Lines>20</Lines>
  <Paragraphs>5</Paragraphs>
  <ScaleCrop>false</ScaleCrop>
  <LinksUpToDate>false</LinksUpToDate>
  <CharactersWithSpaces>2873</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2016-04-27T03:06:00Z</dcterms:created>
  <dc:creator>User</dc:creator>
  <cp:lastModifiedBy>Administrator</cp:lastModifiedBy>
  <dcterms:modified xsi:type="dcterms:W3CDTF">2016-11-04T09:15:43Z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