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AF" w:rsidRDefault="000B4AB4">
      <w:pPr>
        <w:pStyle w:val="1"/>
        <w:widowControl/>
        <w:spacing w:after="120" w:line="560" w:lineRule="exact"/>
        <w:jc w:val="center"/>
        <w:rPr>
          <w:rFonts w:ascii="黑体" w:eastAsia="黑体" w:cs="黑体" w:hint="default"/>
          <w:color w:val="0B77B2"/>
          <w:sz w:val="32"/>
          <w:szCs w:val="32"/>
          <w:lang w:val="zh-CN"/>
        </w:rPr>
      </w:pPr>
      <w:bookmarkStart w:id="0" w:name="OLE_LINK14"/>
      <w:bookmarkStart w:id="1" w:name="OLE_LINK16"/>
      <w:bookmarkStart w:id="2" w:name="OLE_LINK18"/>
      <w:bookmarkStart w:id="3" w:name="OLE_LINK22"/>
      <w:bookmarkStart w:id="4" w:name="OLE_LINK12"/>
      <w:bookmarkStart w:id="5" w:name="OLE_LINK15"/>
      <w:bookmarkStart w:id="6" w:name="OLE_LINK21"/>
      <w:bookmarkStart w:id="7" w:name="OLE_LINK13"/>
      <w:bookmarkStart w:id="8" w:name="OLE_LINK19"/>
      <w:bookmarkStart w:id="9" w:name="OLE_LINK20"/>
      <w:bookmarkStart w:id="10" w:name="OLE_LINK11"/>
      <w:bookmarkStart w:id="11" w:name="OLE_LINK10"/>
      <w:bookmarkStart w:id="12" w:name="OLE_LINK17"/>
      <w:r>
        <w:rPr>
          <w:rFonts w:ascii="黑体" w:eastAsia="黑体" w:cs="黑体"/>
          <w:color w:val="0B77B2"/>
          <w:sz w:val="32"/>
          <w:szCs w:val="32"/>
          <w:lang w:val="zh-CN"/>
        </w:rPr>
        <w:t>南京国际博览中心馆内变电所巡检维护技术保障服务项目</w:t>
      </w:r>
      <w:r>
        <w:rPr>
          <w:rFonts w:ascii="黑体" w:eastAsia="黑体" w:cs="黑体"/>
          <w:color w:val="0B77B2"/>
          <w:sz w:val="32"/>
          <w:szCs w:val="32"/>
          <w:lang w:val="zh-CN"/>
        </w:rPr>
        <w:t>竞争性磋商成交结果公告</w:t>
      </w:r>
    </w:p>
    <w:p w:rsidR="005946AF" w:rsidRDefault="005946AF">
      <w:pPr>
        <w:widowControl/>
        <w:shd w:val="clear" w:color="auto" w:fill="FFFFFF"/>
        <w:spacing w:line="480" w:lineRule="auto"/>
        <w:jc w:val="center"/>
        <w:rPr>
          <w:rFonts w:ascii="黑体" w:eastAsia="黑体" w:cs="黑体"/>
          <w:b/>
          <w:color w:val="0B77B2"/>
          <w:sz w:val="33"/>
          <w:szCs w:val="33"/>
        </w:rPr>
      </w:pPr>
    </w:p>
    <w:p w:rsidR="005946AF" w:rsidRDefault="000B4AB4">
      <w:pPr>
        <w:tabs>
          <w:tab w:val="left" w:pos="7005"/>
        </w:tabs>
        <w:autoSpaceDE w:val="0"/>
        <w:autoSpaceDN w:val="0"/>
        <w:adjustRightInd w:val="0"/>
        <w:spacing w:line="360" w:lineRule="auto"/>
        <w:ind w:firstLineChars="200" w:firstLine="482"/>
        <w:rPr>
          <w:rFonts w:ascii="微软雅黑" w:eastAsia="宋体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宋体" w:hAnsi="微软雅黑" w:cs="宋体" w:hint="eastAsia"/>
          <w:b/>
          <w:bCs/>
          <w:color w:val="333333"/>
          <w:kern w:val="0"/>
          <w:sz w:val="24"/>
          <w:szCs w:val="24"/>
          <w:u w:val="single"/>
        </w:rPr>
        <w:t>江苏苏咨工程咨询有限责任公司</w:t>
      </w:r>
      <w:r>
        <w:rPr>
          <w:rFonts w:ascii="微软雅黑" w:eastAsia="宋体" w:hAnsi="微软雅黑" w:cs="宋体" w:hint="eastAsia"/>
          <w:color w:val="333333"/>
          <w:kern w:val="0"/>
          <w:sz w:val="24"/>
          <w:szCs w:val="24"/>
        </w:rPr>
        <w:t>受</w:t>
      </w:r>
      <w:r>
        <w:rPr>
          <w:rFonts w:ascii="微软雅黑" w:hAnsi="微软雅黑" w:cs="宋体" w:hint="eastAsia"/>
          <w:b/>
          <w:bCs/>
          <w:color w:val="333333"/>
          <w:kern w:val="0"/>
          <w:sz w:val="24"/>
          <w:szCs w:val="24"/>
          <w:u w:val="single"/>
          <w:lang w:val="zh-CN"/>
        </w:rPr>
        <w:t>南京河西会议展览有限责任公司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委托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就</w:t>
      </w:r>
      <w:r>
        <w:rPr>
          <w:rFonts w:ascii="微软雅黑" w:eastAsia="宋体" w:hAnsi="微软雅黑" w:cs="宋体" w:hint="eastAsia"/>
          <w:b/>
          <w:bCs/>
          <w:color w:val="333333"/>
          <w:kern w:val="0"/>
          <w:sz w:val="24"/>
          <w:szCs w:val="24"/>
          <w:u w:val="single"/>
          <w:lang w:val="zh-CN"/>
        </w:rPr>
        <w:t>南京国际博览中心馆内变电所巡检维护技术保障服务项目</w:t>
      </w:r>
      <w:r>
        <w:rPr>
          <w:rFonts w:ascii="微软雅黑" w:eastAsia="宋体" w:hAnsi="微软雅黑" w:cs="宋体" w:hint="eastAsia"/>
          <w:color w:val="333333"/>
          <w:kern w:val="0"/>
          <w:sz w:val="24"/>
          <w:szCs w:val="24"/>
          <w:u w:val="single"/>
        </w:rPr>
        <w:t>（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项目名称）进行竞争性磋商，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现将结果公告如下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：</w:t>
      </w:r>
    </w:p>
    <w:p w:rsidR="005946AF" w:rsidRDefault="000B4AB4">
      <w:pPr>
        <w:tabs>
          <w:tab w:val="left" w:pos="7005"/>
        </w:tabs>
        <w:autoSpaceDE w:val="0"/>
        <w:autoSpaceDN w:val="0"/>
        <w:adjustRightInd w:val="0"/>
        <w:spacing w:line="360" w:lineRule="auto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一、项目名称：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南京国际博览中心馆内变电所巡检维护技术保障服务项目</w:t>
      </w:r>
    </w:p>
    <w:p w:rsidR="005946AF" w:rsidRDefault="000B4AB4">
      <w:pPr>
        <w:autoSpaceDE w:val="0"/>
        <w:autoSpaceDN w:val="0"/>
        <w:adjustRightInd w:val="0"/>
        <w:spacing w:line="600" w:lineRule="exact"/>
        <w:rPr>
          <w:rFonts w:ascii="微软雅黑" w:hAnsi="微软雅黑" w:cs="宋体"/>
          <w:color w:val="333333"/>
          <w:kern w:val="0"/>
          <w:sz w:val="24"/>
          <w:szCs w:val="24"/>
          <w:lang w:val="zh-CN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二、项目简要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说明：南京国际博览中心馆内变电所巡检维护技术保障服务项目</w:t>
      </w:r>
    </w:p>
    <w:p w:rsidR="005946AF" w:rsidRDefault="000B4AB4">
      <w:pPr>
        <w:widowControl/>
        <w:shd w:val="clear" w:color="auto" w:fill="FFFFFF"/>
        <w:spacing w:line="36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宋体" w:hAnsi="微软雅黑" w:cs="宋体" w:hint="eastAsia"/>
          <w:color w:val="333333"/>
          <w:kern w:val="0"/>
          <w:sz w:val="24"/>
          <w:szCs w:val="24"/>
        </w:rPr>
        <w:t>三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、采购方式：竞争性磋商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四、评标信息：</w:t>
      </w:r>
      <w:r>
        <w:rPr>
          <w:rFonts w:ascii="微软雅黑" w:eastAsia="宋体" w:hAnsi="微软雅黑" w:cs="宋体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磋商小组成员名单：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陈招宣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王燕翔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、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孙艳</w:t>
      </w:r>
    </w:p>
    <w:p w:rsidR="005946AF" w:rsidRDefault="000B4AB4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FF0000"/>
          <w:szCs w:val="21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磋商地点：南京市建邺区白龙江西街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6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号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2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楼会议室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磋商日期：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201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年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月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日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五、中标信息：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中标供应商名称：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北京电无忧科技有限公司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中标价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: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82.4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万元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六、采购单位信息：</w:t>
      </w:r>
      <w:r>
        <w:rPr>
          <w:rFonts w:ascii="微软雅黑" w:eastAsia="宋体" w:hAnsi="微软雅黑" w:cs="宋体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采购单位名称：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南京河西会议展览有限责任公司</w:t>
      </w:r>
    </w:p>
    <w:p w:rsidR="005946AF" w:rsidRDefault="000B4AB4">
      <w:pPr>
        <w:adjustRightInd w:val="0"/>
        <w:snapToGrid w:val="0"/>
        <w:spacing w:line="360" w:lineRule="auto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采购项目地址：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南京市建邺区白龙江西街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6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  <w:lang w:val="zh-CN"/>
        </w:rPr>
        <w:t>号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七、招标代理信息：</w:t>
      </w:r>
      <w:r>
        <w:rPr>
          <w:rFonts w:ascii="微软雅黑" w:eastAsia="宋体" w:hAnsi="微软雅黑" w:cs="宋体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单位名称：江苏苏咨工程咨询有限责任公司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地址：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南京市中山北路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285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号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楼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br/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联系人姓名：李工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lastRenderedPageBreak/>
        <w:t>联系电话：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025-83581353</w:t>
      </w: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八、备注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本成交结果公告自发布之日起公告期限为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1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个工作日。各有关当事人对中标结果有异议的，可以在中标公告发布之日起七个工作日内，以书面形式向代理公司提出质疑，逾期将不再受理。</w:t>
      </w:r>
    </w:p>
    <w:p w:rsidR="005946AF" w:rsidRDefault="005946AF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</w:p>
    <w:p w:rsidR="005946AF" w:rsidRDefault="000B4AB4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江苏苏咨工程咨询有限责任公司</w:t>
      </w:r>
    </w:p>
    <w:p w:rsidR="005946AF" w:rsidRDefault="000B4AB4">
      <w:pPr>
        <w:widowControl/>
        <w:shd w:val="clear" w:color="auto" w:fill="FFFFFF"/>
        <w:spacing w:line="480" w:lineRule="auto"/>
        <w:ind w:firstLineChars="2000" w:firstLine="4800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公告日期：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201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9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3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月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8</w:t>
      </w:r>
      <w:r>
        <w:rPr>
          <w:rFonts w:ascii="微软雅黑" w:hAnsi="微软雅黑" w:cs="宋体" w:hint="eastAsia"/>
          <w:color w:val="333333"/>
          <w:kern w:val="0"/>
          <w:sz w:val="24"/>
          <w:szCs w:val="24"/>
        </w:rPr>
        <w:t>日</w:t>
      </w:r>
      <w:bookmarkStart w:id="13" w:name="_GoBack"/>
      <w:bookmarkEnd w:id="13"/>
    </w:p>
    <w:p w:rsidR="005946AF" w:rsidRDefault="005946AF">
      <w:pPr>
        <w:widowControl/>
        <w:shd w:val="clear" w:color="auto" w:fill="FFFFFF"/>
        <w:spacing w:line="480" w:lineRule="auto"/>
        <w:jc w:val="left"/>
        <w:rPr>
          <w:rFonts w:ascii="微软雅黑" w:hAnsi="微软雅黑" w:cs="宋体"/>
          <w:color w:val="333333"/>
          <w:kern w:val="0"/>
          <w:sz w:val="24"/>
          <w:szCs w:val="24"/>
        </w:rPr>
      </w:pPr>
    </w:p>
    <w:sectPr w:rsidR="005946AF" w:rsidSect="0059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B4" w:rsidRDefault="000B4AB4" w:rsidP="00D9214A">
      <w:r>
        <w:separator/>
      </w:r>
    </w:p>
  </w:endnote>
  <w:endnote w:type="continuationSeparator" w:id="0">
    <w:p w:rsidR="000B4AB4" w:rsidRDefault="000B4AB4" w:rsidP="00D92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B4" w:rsidRDefault="000B4AB4" w:rsidP="00D9214A">
      <w:r>
        <w:separator/>
      </w:r>
    </w:p>
  </w:footnote>
  <w:footnote w:type="continuationSeparator" w:id="0">
    <w:p w:rsidR="000B4AB4" w:rsidRDefault="000B4AB4" w:rsidP="00D92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7401"/>
    <w:rsid w:val="000B4AB4"/>
    <w:rsid w:val="000F3468"/>
    <w:rsid w:val="00117732"/>
    <w:rsid w:val="001205F9"/>
    <w:rsid w:val="00123AF1"/>
    <w:rsid w:val="001A1F34"/>
    <w:rsid w:val="001A32C7"/>
    <w:rsid w:val="00251605"/>
    <w:rsid w:val="0026621F"/>
    <w:rsid w:val="00281873"/>
    <w:rsid w:val="003723C6"/>
    <w:rsid w:val="00433BFF"/>
    <w:rsid w:val="004670CD"/>
    <w:rsid w:val="004B4989"/>
    <w:rsid w:val="0051366C"/>
    <w:rsid w:val="00536674"/>
    <w:rsid w:val="005946AF"/>
    <w:rsid w:val="005B6D0F"/>
    <w:rsid w:val="006007A2"/>
    <w:rsid w:val="00616D82"/>
    <w:rsid w:val="006601AA"/>
    <w:rsid w:val="007A2B78"/>
    <w:rsid w:val="007E7BAB"/>
    <w:rsid w:val="008816AC"/>
    <w:rsid w:val="008C5B45"/>
    <w:rsid w:val="008C6F41"/>
    <w:rsid w:val="008D266E"/>
    <w:rsid w:val="0099128F"/>
    <w:rsid w:val="00A06C6E"/>
    <w:rsid w:val="00A3757C"/>
    <w:rsid w:val="00A53235"/>
    <w:rsid w:val="00A54492"/>
    <w:rsid w:val="00AB3E9B"/>
    <w:rsid w:val="00AB7EC8"/>
    <w:rsid w:val="00B13173"/>
    <w:rsid w:val="00B36384"/>
    <w:rsid w:val="00B47270"/>
    <w:rsid w:val="00B67401"/>
    <w:rsid w:val="00B74216"/>
    <w:rsid w:val="00BE1C3D"/>
    <w:rsid w:val="00C13BC6"/>
    <w:rsid w:val="00C520B4"/>
    <w:rsid w:val="00C70243"/>
    <w:rsid w:val="00C922C6"/>
    <w:rsid w:val="00CA2CD6"/>
    <w:rsid w:val="00CE5C59"/>
    <w:rsid w:val="00D1413E"/>
    <w:rsid w:val="00D439C8"/>
    <w:rsid w:val="00D9214A"/>
    <w:rsid w:val="00DF3D68"/>
    <w:rsid w:val="00E26657"/>
    <w:rsid w:val="00F20BE7"/>
    <w:rsid w:val="00F5221D"/>
    <w:rsid w:val="00F524BE"/>
    <w:rsid w:val="00F528D4"/>
    <w:rsid w:val="00F97B0C"/>
    <w:rsid w:val="00FE1DFD"/>
    <w:rsid w:val="029A120D"/>
    <w:rsid w:val="03F0023D"/>
    <w:rsid w:val="048A6429"/>
    <w:rsid w:val="04C6545C"/>
    <w:rsid w:val="06887CE0"/>
    <w:rsid w:val="09DF3249"/>
    <w:rsid w:val="0C974546"/>
    <w:rsid w:val="0D336EC3"/>
    <w:rsid w:val="0F302F7C"/>
    <w:rsid w:val="0F5645D9"/>
    <w:rsid w:val="0F916538"/>
    <w:rsid w:val="102010D3"/>
    <w:rsid w:val="13B23945"/>
    <w:rsid w:val="14491138"/>
    <w:rsid w:val="14900F8D"/>
    <w:rsid w:val="158C46B9"/>
    <w:rsid w:val="181715FB"/>
    <w:rsid w:val="19354C09"/>
    <w:rsid w:val="19F10797"/>
    <w:rsid w:val="19F234F1"/>
    <w:rsid w:val="1A4B3313"/>
    <w:rsid w:val="1B8C124C"/>
    <w:rsid w:val="1CE54675"/>
    <w:rsid w:val="1EFE6273"/>
    <w:rsid w:val="22D0332C"/>
    <w:rsid w:val="23B011AC"/>
    <w:rsid w:val="23D13A34"/>
    <w:rsid w:val="242C16AB"/>
    <w:rsid w:val="245B5719"/>
    <w:rsid w:val="25F30782"/>
    <w:rsid w:val="287637D9"/>
    <w:rsid w:val="2A0F6B34"/>
    <w:rsid w:val="2BE30A25"/>
    <w:rsid w:val="2BF726E5"/>
    <w:rsid w:val="2ED0167F"/>
    <w:rsid w:val="2FA04C15"/>
    <w:rsid w:val="31F87C1B"/>
    <w:rsid w:val="33B46EA7"/>
    <w:rsid w:val="36812D44"/>
    <w:rsid w:val="3B944F5E"/>
    <w:rsid w:val="3E3849AF"/>
    <w:rsid w:val="3F0F725E"/>
    <w:rsid w:val="40436997"/>
    <w:rsid w:val="40AC1395"/>
    <w:rsid w:val="40D44EFB"/>
    <w:rsid w:val="41A17571"/>
    <w:rsid w:val="42341D5E"/>
    <w:rsid w:val="45533C39"/>
    <w:rsid w:val="45F02432"/>
    <w:rsid w:val="47323426"/>
    <w:rsid w:val="4821641B"/>
    <w:rsid w:val="4A32586F"/>
    <w:rsid w:val="4A844006"/>
    <w:rsid w:val="4B192BF9"/>
    <w:rsid w:val="4D642593"/>
    <w:rsid w:val="4DB1202F"/>
    <w:rsid w:val="4DB435F9"/>
    <w:rsid w:val="4F490A7B"/>
    <w:rsid w:val="506B4C3B"/>
    <w:rsid w:val="515810FC"/>
    <w:rsid w:val="51C51843"/>
    <w:rsid w:val="547A0CBE"/>
    <w:rsid w:val="566E417C"/>
    <w:rsid w:val="56A51D6B"/>
    <w:rsid w:val="59F9508E"/>
    <w:rsid w:val="5A3C4D76"/>
    <w:rsid w:val="5A683BFB"/>
    <w:rsid w:val="5BA562D8"/>
    <w:rsid w:val="5DC91C86"/>
    <w:rsid w:val="5E061B54"/>
    <w:rsid w:val="60BE49AE"/>
    <w:rsid w:val="61D602B7"/>
    <w:rsid w:val="628A7406"/>
    <w:rsid w:val="62D560E2"/>
    <w:rsid w:val="649A062C"/>
    <w:rsid w:val="659E320E"/>
    <w:rsid w:val="65BE3D18"/>
    <w:rsid w:val="69CB4E20"/>
    <w:rsid w:val="6E554860"/>
    <w:rsid w:val="709170CD"/>
    <w:rsid w:val="724A44CD"/>
    <w:rsid w:val="7389109C"/>
    <w:rsid w:val="742579B2"/>
    <w:rsid w:val="7557228A"/>
    <w:rsid w:val="75EF5578"/>
    <w:rsid w:val="774811E7"/>
    <w:rsid w:val="791E1CB1"/>
    <w:rsid w:val="796A6D93"/>
    <w:rsid w:val="7A41786B"/>
    <w:rsid w:val="7B977378"/>
    <w:rsid w:val="7BE23374"/>
    <w:rsid w:val="7BE920A8"/>
    <w:rsid w:val="7F6B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5946AF"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4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94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5946AF"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sid w:val="005946AF"/>
  </w:style>
  <w:style w:type="character" w:styleId="a7">
    <w:name w:val="Hyperlink"/>
    <w:basedOn w:val="a0"/>
    <w:uiPriority w:val="99"/>
    <w:unhideWhenUsed/>
    <w:qFormat/>
    <w:rsid w:val="005946AF"/>
    <w:rPr>
      <w:color w:val="000000"/>
      <w:sz w:val="18"/>
      <w:szCs w:val="18"/>
      <w:u w:val="none"/>
    </w:rPr>
  </w:style>
  <w:style w:type="character" w:styleId="HTML">
    <w:name w:val="HTML Code"/>
    <w:basedOn w:val="a0"/>
    <w:uiPriority w:val="99"/>
    <w:unhideWhenUsed/>
    <w:qFormat/>
    <w:rsid w:val="005946AF"/>
    <w:rPr>
      <w:rFonts w:ascii="Courier New" w:hAnsi="Courier New"/>
      <w:sz w:val="20"/>
    </w:rPr>
  </w:style>
  <w:style w:type="character" w:customStyle="1" w:styleId="Char0">
    <w:name w:val="页眉 Char"/>
    <w:basedOn w:val="a0"/>
    <w:link w:val="a4"/>
    <w:uiPriority w:val="99"/>
    <w:semiHidden/>
    <w:qFormat/>
    <w:rsid w:val="005946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946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31</cp:revision>
  <dcterms:created xsi:type="dcterms:W3CDTF">2017-07-19T08:38:00Z</dcterms:created>
  <dcterms:modified xsi:type="dcterms:W3CDTF">2019-03-08T06:54:00Z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